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116" w:rsidRPr="00446696" w:rsidRDefault="00D90116" w:rsidP="00D90116">
      <w:pPr>
        <w:jc w:val="center"/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</w:pPr>
      <w:r w:rsidRPr="00446696"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t xml:space="preserve">IL RETTO CHIRURGICO </w:t>
      </w:r>
    </w:p>
    <w:p w:rsidR="00D90116" w:rsidRPr="001F157B" w:rsidRDefault="00D90116" w:rsidP="00D90116">
      <w:pPr>
        <w:jc w:val="center"/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</w:pPr>
      <w:r w:rsidRPr="001F157B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(Considerazioni tratte dalle linee guida AIOM 2018)</w:t>
      </w:r>
    </w:p>
    <w:p w:rsidR="00D90116" w:rsidRDefault="00D90116" w:rsidP="00D90116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</w:p>
    <w:p w:rsidR="00D90116" w:rsidRDefault="00D90116" w:rsidP="00D90116">
      <w:pPr>
        <w:rPr>
          <w:rFonts w:ascii="Arial" w:hAnsi="Arial" w:cs="Arial"/>
          <w:b/>
          <w:color w:val="222222"/>
          <w:shd w:val="clear" w:color="auto" w:fill="FFFFFF"/>
        </w:rPr>
      </w:pPr>
      <w:r>
        <w:rPr>
          <w:rFonts w:ascii="Arial" w:hAnsi="Arial" w:cs="Arial"/>
          <w:b/>
          <w:color w:val="222222"/>
          <w:shd w:val="clear" w:color="auto" w:fill="FFFFFF"/>
        </w:rPr>
        <w:t xml:space="preserve">ANATOMIA PRELIMINARE </w:t>
      </w:r>
    </w:p>
    <w:p w:rsidR="00D90116" w:rsidRDefault="00D90116" w:rsidP="00D90116">
      <w:pPr>
        <w:rPr>
          <w:rFonts w:ascii="Arial" w:hAnsi="Arial" w:cs="Arial"/>
          <w:b/>
          <w:color w:val="222222"/>
          <w:shd w:val="clear" w:color="auto" w:fill="FFFFFF"/>
        </w:rPr>
      </w:pPr>
      <w:r>
        <w:rPr>
          <w:rFonts w:ascii="Arial" w:hAnsi="Arial" w:cs="Arial"/>
          <w:b/>
          <w:color w:val="222222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593.75pt">
            <v:imagedata r:id="rId6" o:title="arterie_di_intestino_crasso"/>
          </v:shape>
        </w:pict>
      </w:r>
    </w:p>
    <w:p w:rsidR="00D90116" w:rsidRDefault="00446696" w:rsidP="00446696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  <w:r>
        <w:rPr>
          <w:rFonts w:ascii="Arial" w:hAnsi="Arial" w:cs="Arial"/>
          <w:b/>
          <w:noProof/>
          <w:color w:val="222222"/>
          <w:shd w:val="clear" w:color="auto" w:fill="FFFFFF"/>
        </w:rPr>
        <w:lastRenderedPageBreak/>
        <w:drawing>
          <wp:inline distT="0" distB="0" distL="0" distR="0">
            <wp:extent cx="5731510" cy="4343206"/>
            <wp:effectExtent l="19050" t="0" r="2540" b="0"/>
            <wp:docPr id="7" name="Immagine 2" descr="C:\Users\FABBRI\Desktop\surgicalitaly news\medicina-online-lunghezza-canale-anale-sesso-penetrazione-anorettale-retto-ano-sfintere-anale-sesso-incontinenza-fecale-feci-alzheimer-colon-intestino-irritabile-spasmo-crohn-muscoli-v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BBRI\Desktop\surgicalitaly news\medicina-online-lunghezza-canale-anale-sesso-penetrazione-anorettale-retto-ano-sfintere-anale-sesso-incontinenza-fecale-feci-alzheimer-colon-intestino-irritabile-spasmo-crohn-muscoli-vo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4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hd w:val="clear" w:color="auto" w:fill="FFFFFF"/>
        </w:rPr>
        <w:drawing>
          <wp:inline distT="0" distB="0" distL="0" distR="0">
            <wp:extent cx="5731510" cy="4103306"/>
            <wp:effectExtent l="19050" t="0" r="2540" b="0"/>
            <wp:docPr id="26" name="Immagine 26" descr="C:\Users\FABBRI\AppData\Local\Microsoft\Windows\INetCache\Content.Word\intest cras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ABBRI\AppData\Local\Microsoft\Windows\INetCache\Content.Word\intest crass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0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222222"/>
          <w:shd w:val="clear" w:color="auto" w:fill="FFFFFF"/>
        </w:rPr>
        <w:lastRenderedPageBreak/>
        <w:drawing>
          <wp:inline distT="0" distB="0" distL="0" distR="0">
            <wp:extent cx="3412919" cy="4337926"/>
            <wp:effectExtent l="19050" t="0" r="0" b="0"/>
            <wp:docPr id="4" name="Immagine 18" descr="C:\Users\FABBRI\AppData\Local\Microsoft\Windows\INetCache\Content.Word\Cavo-del-Douglas-Fascia-di-Denonvill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ABBRI\AppData\Local\Microsoft\Windows\INetCache\Content.Word\Cavo-del-Douglas-Fascia-di-Denonvillier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61" cy="433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222222"/>
          <w:shd w:val="clear" w:color="auto" w:fill="FFFFFF"/>
        </w:rPr>
        <w:pict>
          <v:shape id="_x0000_i1027" type="#_x0000_t75" style="width:280.5pt;height:350.65pt">
            <v:imagedata r:id="rId10" o:title="ScreenHunter 07"/>
          </v:shape>
        </w:pict>
      </w:r>
    </w:p>
    <w:p w:rsidR="00D90116" w:rsidRPr="00D90116" w:rsidRDefault="00D90116" w:rsidP="00446696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  <w:r>
        <w:rPr>
          <w:rFonts w:ascii="Arial" w:hAnsi="Arial" w:cs="Arial"/>
          <w:b/>
          <w:noProof/>
          <w:color w:val="222222"/>
          <w:shd w:val="clear" w:color="auto" w:fill="FFFFFF"/>
        </w:rPr>
        <w:lastRenderedPageBreak/>
        <w:drawing>
          <wp:inline distT="0" distB="0" distL="0" distR="0">
            <wp:extent cx="5464684" cy="4809506"/>
            <wp:effectExtent l="19050" t="0" r="2666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879" cy="481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696">
        <w:rPr>
          <w:rFonts w:ascii="Arial" w:hAnsi="Arial" w:cs="Arial"/>
          <w:b/>
          <w:noProof/>
          <w:color w:val="222222"/>
          <w:shd w:val="clear" w:color="auto" w:fill="FFFFFF"/>
        </w:rPr>
        <w:pict>
          <v:shape id="_x0000_i1026" type="#_x0000_t75" style="width:382.45pt;height:314.2pt">
            <v:imagedata r:id="rId12" o:title="ScreenHunter 06"/>
          </v:shape>
        </w:pict>
      </w:r>
    </w:p>
    <w:p w:rsidR="00D90116" w:rsidRDefault="00D90116">
      <w:pPr>
        <w:rPr>
          <w:rFonts w:ascii="Arial" w:hAnsi="Arial" w:cs="Arial"/>
          <w:color w:val="222222"/>
          <w:shd w:val="clear" w:color="auto" w:fill="FFFFFF"/>
        </w:rPr>
      </w:pPr>
    </w:p>
    <w:p w:rsidR="00D90116" w:rsidRDefault="00D90116">
      <w:pPr>
        <w:rPr>
          <w:rFonts w:ascii="Arial" w:hAnsi="Arial" w:cs="Arial"/>
          <w:color w:val="222222"/>
          <w:shd w:val="clear" w:color="auto" w:fill="FFFFFF"/>
        </w:rPr>
      </w:pPr>
      <w:r w:rsidRPr="00D90116">
        <w:rPr>
          <w:rFonts w:ascii="Arial" w:hAnsi="Arial" w:cs="Arial"/>
          <w:color w:val="222222"/>
          <w:shd w:val="clear" w:color="auto" w:fill="FFFFFF"/>
        </w:rPr>
        <w:drawing>
          <wp:inline distT="0" distB="0" distL="0" distR="0">
            <wp:extent cx="5977989" cy="4188770"/>
            <wp:effectExtent l="19050" t="0" r="3711" b="0"/>
            <wp:docPr id="2" name="Immagine 1" descr="C:\Users\FABBRI\Desktop\surgicalitaly news\defecazione-esemp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BBRI\Desktop\surgicalitaly news\defecazione-esempi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959" cy="419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116" w:rsidRDefault="00D90116">
      <w:pPr>
        <w:rPr>
          <w:rFonts w:ascii="Arial" w:hAnsi="Arial" w:cs="Arial"/>
          <w:color w:val="222222"/>
          <w:shd w:val="clear" w:color="auto" w:fill="FFFFFF"/>
        </w:rPr>
      </w:pPr>
    </w:p>
    <w:p w:rsidR="00FC7181" w:rsidRPr="00FC7181" w:rsidRDefault="00FC7181" w:rsidP="00FC7181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  <w:r w:rsidRPr="00FC7181">
        <w:rPr>
          <w:rFonts w:ascii="Arial" w:hAnsi="Arial" w:cs="Arial"/>
          <w:b/>
          <w:color w:val="222222"/>
          <w:shd w:val="clear" w:color="auto" w:fill="FFFFFF"/>
        </w:rPr>
        <w:t xml:space="preserve">ETA’ E TEMPO </w:t>
      </w:r>
      <w:proofErr w:type="spellStart"/>
      <w:r w:rsidRPr="00FC7181">
        <w:rPr>
          <w:rFonts w:ascii="Arial" w:hAnsi="Arial" w:cs="Arial"/>
          <w:b/>
          <w:color w:val="222222"/>
          <w:shd w:val="clear" w:color="auto" w:fill="FFFFFF"/>
        </w:rPr>
        <w:t>DI</w:t>
      </w:r>
      <w:proofErr w:type="spellEnd"/>
      <w:r w:rsidRPr="00FC7181">
        <w:rPr>
          <w:rFonts w:ascii="Arial" w:hAnsi="Arial" w:cs="Arial"/>
          <w:b/>
          <w:color w:val="222222"/>
          <w:shd w:val="clear" w:color="auto" w:fill="FFFFFF"/>
        </w:rPr>
        <w:t xml:space="preserve"> GUARIGIONE</w:t>
      </w:r>
    </w:p>
    <w:tbl>
      <w:tblPr>
        <w:tblStyle w:val="Grigliatabella"/>
        <w:tblW w:w="0" w:type="auto"/>
        <w:tblLook w:val="04A0"/>
      </w:tblPr>
      <w:tblGrid>
        <w:gridCol w:w="3055"/>
        <w:gridCol w:w="3055"/>
        <w:gridCol w:w="3056"/>
      </w:tblGrid>
      <w:tr w:rsidR="00FC7181" w:rsidTr="00FC7181">
        <w:tc>
          <w:tcPr>
            <w:tcW w:w="3055" w:type="dxa"/>
            <w:shd w:val="clear" w:color="auto" w:fill="DBE5F1" w:themeFill="accent1" w:themeFillTint="33"/>
          </w:tcPr>
          <w:p w:rsidR="00FC7181" w:rsidRPr="00FC7181" w:rsidRDefault="00FC7181" w:rsidP="00FC7181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FC7181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FASCE </w:t>
            </w:r>
            <w:proofErr w:type="spellStart"/>
            <w:r w:rsidRPr="00FC7181">
              <w:rPr>
                <w:rFonts w:ascii="Arial" w:hAnsi="Arial" w:cs="Arial"/>
                <w:b/>
                <w:color w:val="222222"/>
                <w:shd w:val="clear" w:color="auto" w:fill="FFFFFF"/>
              </w:rPr>
              <w:t>DI</w:t>
            </w:r>
            <w:proofErr w:type="spellEnd"/>
            <w:r w:rsidRPr="00FC7181">
              <w:rPr>
                <w:rFonts w:ascii="Arial" w:hAnsi="Arial" w:cs="Arial"/>
                <w:b/>
                <w:color w:val="222222"/>
                <w:shd w:val="clear" w:color="auto" w:fill="FFFFFF"/>
              </w:rPr>
              <w:t xml:space="preserve"> ETA</w:t>
            </w:r>
          </w:p>
        </w:tc>
        <w:tc>
          <w:tcPr>
            <w:tcW w:w="3055" w:type="dxa"/>
            <w:shd w:val="clear" w:color="auto" w:fill="DBE5F1" w:themeFill="accent1" w:themeFillTint="33"/>
          </w:tcPr>
          <w:p w:rsidR="00FC7181" w:rsidRPr="00FC7181" w:rsidRDefault="00FC7181" w:rsidP="00FC7181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FC7181">
              <w:rPr>
                <w:rFonts w:ascii="Arial" w:hAnsi="Arial" w:cs="Arial"/>
                <w:b/>
                <w:color w:val="222222"/>
                <w:shd w:val="clear" w:color="auto" w:fill="FFFFFF"/>
              </w:rPr>
              <w:t>MASCHI</w:t>
            </w:r>
          </w:p>
        </w:tc>
        <w:tc>
          <w:tcPr>
            <w:tcW w:w="3056" w:type="dxa"/>
            <w:shd w:val="clear" w:color="auto" w:fill="DBE5F1" w:themeFill="accent1" w:themeFillTint="33"/>
          </w:tcPr>
          <w:p w:rsidR="00FC7181" w:rsidRPr="00FC7181" w:rsidRDefault="00FC7181" w:rsidP="00FC7181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FC7181">
              <w:rPr>
                <w:rFonts w:ascii="Arial" w:hAnsi="Arial" w:cs="Arial"/>
                <w:b/>
                <w:color w:val="222222"/>
                <w:shd w:val="clear" w:color="auto" w:fill="FFFFFF"/>
              </w:rPr>
              <w:t>FEMMINE</w:t>
            </w:r>
          </w:p>
        </w:tc>
      </w:tr>
      <w:tr w:rsidR="00FC7181" w:rsidTr="00FC7181">
        <w:tc>
          <w:tcPr>
            <w:tcW w:w="3055" w:type="dxa"/>
          </w:tcPr>
          <w:p w:rsidR="00FC7181" w:rsidRDefault="00FC7181" w:rsidP="00FC7181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45-59</w:t>
            </w:r>
          </w:p>
        </w:tc>
        <w:tc>
          <w:tcPr>
            <w:tcW w:w="3055" w:type="dxa"/>
          </w:tcPr>
          <w:p w:rsidR="00FC7181" w:rsidRDefault="00FC7181" w:rsidP="00FC7181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10</w:t>
            </w:r>
          </w:p>
        </w:tc>
        <w:tc>
          <w:tcPr>
            <w:tcW w:w="3056" w:type="dxa"/>
          </w:tcPr>
          <w:p w:rsidR="00FC7181" w:rsidRDefault="00FC7181" w:rsidP="00FC7181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8</w:t>
            </w:r>
          </w:p>
        </w:tc>
      </w:tr>
      <w:tr w:rsidR="00FC7181" w:rsidTr="00FC7181">
        <w:tc>
          <w:tcPr>
            <w:tcW w:w="3055" w:type="dxa"/>
          </w:tcPr>
          <w:p w:rsidR="00FC7181" w:rsidRDefault="00FC7181" w:rsidP="00FC7181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60-74</w:t>
            </w:r>
          </w:p>
        </w:tc>
        <w:tc>
          <w:tcPr>
            <w:tcW w:w="3055" w:type="dxa"/>
          </w:tcPr>
          <w:p w:rsidR="00FC7181" w:rsidRDefault="00FC7181" w:rsidP="00FC7181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11</w:t>
            </w:r>
          </w:p>
        </w:tc>
        <w:tc>
          <w:tcPr>
            <w:tcW w:w="3056" w:type="dxa"/>
          </w:tcPr>
          <w:p w:rsidR="00FC7181" w:rsidRDefault="00FC7181" w:rsidP="00FC7181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9</w:t>
            </w:r>
          </w:p>
        </w:tc>
      </w:tr>
      <w:tr w:rsidR="00FC7181" w:rsidTr="00FC7181">
        <w:tc>
          <w:tcPr>
            <w:tcW w:w="3055" w:type="dxa"/>
          </w:tcPr>
          <w:p w:rsidR="00FC7181" w:rsidRDefault="00FC7181" w:rsidP="00FC7181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sopra i 75 anni</w:t>
            </w:r>
          </w:p>
        </w:tc>
        <w:tc>
          <w:tcPr>
            <w:tcW w:w="3055" w:type="dxa"/>
          </w:tcPr>
          <w:p w:rsidR="00FC7181" w:rsidRDefault="00FC7181" w:rsidP="00FC7181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12</w:t>
            </w:r>
          </w:p>
        </w:tc>
        <w:tc>
          <w:tcPr>
            <w:tcW w:w="3056" w:type="dxa"/>
          </w:tcPr>
          <w:p w:rsidR="00FC7181" w:rsidRDefault="00FC7181" w:rsidP="00FC7181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10</w:t>
            </w:r>
          </w:p>
        </w:tc>
      </w:tr>
    </w:tbl>
    <w:p w:rsidR="00FC7181" w:rsidRDefault="00D90116" w:rsidP="00FC7181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 w:rsidRPr="00FC7181">
        <w:rPr>
          <w:rFonts w:ascii="Arial" w:hAnsi="Arial" w:cs="Arial"/>
          <w:b/>
          <w:color w:val="222222"/>
          <w:shd w:val="clear" w:color="auto" w:fill="FFFFFF"/>
        </w:rPr>
        <w:t>sopravvivenza relativa a 5 anni 63%</w:t>
      </w:r>
    </w:p>
    <w:p w:rsidR="00FC7181" w:rsidRPr="00FC7181" w:rsidRDefault="00D90116" w:rsidP="00FC7181">
      <w:pPr>
        <w:rPr>
          <w:rFonts w:ascii="Arial" w:hAnsi="Arial" w:cs="Arial"/>
          <w:b/>
          <w:color w:val="222222"/>
          <w:shd w:val="clear" w:color="auto" w:fill="FFFFFF"/>
        </w:rPr>
      </w:pPr>
      <w:r w:rsidRPr="00FC7181">
        <w:rPr>
          <w:rFonts w:ascii="Arial" w:hAnsi="Arial" w:cs="Arial"/>
          <w:b/>
          <w:color w:val="222222"/>
        </w:rPr>
        <w:br/>
      </w:r>
      <w:r>
        <w:rPr>
          <w:rFonts w:ascii="Arial" w:hAnsi="Arial" w:cs="Arial"/>
          <w:color w:val="222222"/>
        </w:rPr>
        <w:br/>
      </w:r>
      <w:r w:rsidR="00FC7181" w:rsidRPr="00FC7181">
        <w:rPr>
          <w:rFonts w:ascii="Arial" w:hAnsi="Arial" w:cs="Arial"/>
          <w:b/>
          <w:color w:val="222222"/>
          <w:shd w:val="clear" w:color="auto" w:fill="FFFFFF"/>
        </w:rPr>
        <w:t xml:space="preserve">radioterapia sulla pelvi </w:t>
      </w:r>
    </w:p>
    <w:p w:rsidR="00FC7181" w:rsidRPr="00FC7181" w:rsidRDefault="00D90116" w:rsidP="00FC7181">
      <w:pPr>
        <w:rPr>
          <w:rFonts w:ascii="Arial" w:hAnsi="Arial" w:cs="Arial"/>
          <w:b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recente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metanalisi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:, indipendentemente dalla neoplasia: rischio di sviluppare un tumore al retto (RR 1.43) </w:t>
      </w:r>
      <w:r w:rsidRPr="00FC7181">
        <w:rPr>
          <w:rFonts w:ascii="Arial" w:hAnsi="Arial" w:cs="Arial"/>
          <w:color w:val="222222"/>
          <w:u w:val="single"/>
          <w:shd w:val="clear" w:color="auto" w:fill="FFFFFF"/>
        </w:rPr>
        <w:t>è stato giudicato modesto</w:t>
      </w:r>
      <w:r>
        <w:rPr>
          <w:rFonts w:ascii="Arial" w:hAnsi="Arial" w:cs="Arial"/>
          <w:color w:val="222222"/>
          <w:shd w:val="clear" w:color="auto" w:fill="FFFFFF"/>
        </w:rPr>
        <w:t xml:space="preserve"> e non sono state poste indicazioni di modifica alla sorveglianza dei tumori rettali nei pazienti precedentemente irradiati sulla pelvi</w:t>
      </w:r>
      <w:r w:rsidR="00FC7181"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 w:rsidR="00FC7181" w:rsidRPr="00FC7181">
        <w:rPr>
          <w:rFonts w:ascii="Arial" w:hAnsi="Arial" w:cs="Arial"/>
          <w:b/>
          <w:color w:val="222222"/>
          <w:shd w:val="clear" w:color="auto" w:fill="FFFFFF"/>
        </w:rPr>
        <w:t>IBD E K RETTO</w:t>
      </w:r>
    </w:p>
    <w:p w:rsidR="00FC7181" w:rsidRDefault="00D90116" w:rsidP="00FC7181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soggetti con IBD dell’intestino, </w:t>
      </w:r>
      <w:r w:rsidR="00FC7181">
        <w:rPr>
          <w:rFonts w:ascii="Arial" w:hAnsi="Arial" w:cs="Arial"/>
          <w:color w:val="222222"/>
          <w:shd w:val="clear" w:color="auto" w:fill="FFFFFF"/>
        </w:rPr>
        <w:t xml:space="preserve">(RCU, </w:t>
      </w:r>
      <w:proofErr w:type="spellStart"/>
      <w:r w:rsidR="00FC7181">
        <w:rPr>
          <w:rFonts w:ascii="Arial" w:hAnsi="Arial" w:cs="Arial"/>
          <w:color w:val="222222"/>
          <w:shd w:val="clear" w:color="auto" w:fill="FFFFFF"/>
        </w:rPr>
        <w:t>Crohn</w:t>
      </w:r>
      <w:proofErr w:type="spellEnd"/>
      <w:r w:rsidR="00FC7181">
        <w:rPr>
          <w:rFonts w:ascii="Arial" w:hAnsi="Arial" w:cs="Arial"/>
          <w:color w:val="222222"/>
          <w:shd w:val="clear" w:color="auto" w:fill="FFFFFF"/>
        </w:rPr>
        <w:t xml:space="preserve">) </w:t>
      </w:r>
      <w:r>
        <w:rPr>
          <w:rFonts w:ascii="Arial" w:hAnsi="Arial" w:cs="Arial"/>
          <w:color w:val="222222"/>
          <w:shd w:val="clear" w:color="auto" w:fill="FFFFFF"/>
        </w:rPr>
        <w:t xml:space="preserve">hanno un rischio cumulativo di sviluppare un tumore del colon-retto di </w:t>
      </w:r>
      <w:r w:rsidRPr="00FC7181">
        <w:rPr>
          <w:rFonts w:ascii="Arial" w:hAnsi="Arial" w:cs="Arial"/>
          <w:b/>
          <w:color w:val="222222"/>
          <w:shd w:val="clear" w:color="auto" w:fill="FFFFFF"/>
        </w:rPr>
        <w:t>1.7</w:t>
      </w:r>
      <w:r>
        <w:rPr>
          <w:rFonts w:ascii="Arial" w:hAnsi="Arial" w:cs="Arial"/>
          <w:color w:val="222222"/>
          <w:shd w:val="clear" w:color="auto" w:fill="FFFFFF"/>
        </w:rPr>
        <w:t xml:space="preserve"> rispetto alla popolazione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lastRenderedPageBreak/>
        <w:br/>
      </w:r>
      <w:r w:rsidRPr="00FC7181">
        <w:rPr>
          <w:rFonts w:ascii="Arial" w:hAnsi="Arial" w:cs="Arial"/>
          <w:b/>
          <w:color w:val="222222"/>
          <w:shd w:val="clear" w:color="auto" w:fill="FFFFFF"/>
        </w:rPr>
        <w:t>IBD insorta prima dei 30 anni il rischio è 6.4 volte superiore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 w:rsidR="00FC7181">
        <w:rPr>
          <w:rFonts w:ascii="Arial" w:hAnsi="Arial" w:cs="Arial"/>
          <w:color w:val="222222"/>
          <w:shd w:val="clear" w:color="auto" w:fill="FFFFFF"/>
        </w:rPr>
        <w:t xml:space="preserve">peggio se esiste </w:t>
      </w:r>
      <w:r>
        <w:rPr>
          <w:rFonts w:ascii="Arial" w:hAnsi="Arial" w:cs="Arial"/>
          <w:color w:val="222222"/>
          <w:shd w:val="clear" w:color="auto" w:fill="FFFFFF"/>
        </w:rPr>
        <w:t>associazione con la colangite sclerosante</w:t>
      </w:r>
      <w:r w:rsidR="00FC7181">
        <w:rPr>
          <w:rFonts w:ascii="Arial" w:hAnsi="Arial" w:cs="Arial"/>
          <w:color w:val="222222"/>
          <w:shd w:val="clear" w:color="auto" w:fill="FFFFFF"/>
        </w:rPr>
        <w:t>.</w:t>
      </w:r>
    </w:p>
    <w:p w:rsidR="00FC7181" w:rsidRPr="00FC7181" w:rsidRDefault="00D90116" w:rsidP="00FC7181">
      <w:pPr>
        <w:jc w:val="center"/>
        <w:rPr>
          <w:rFonts w:ascii="Arial" w:hAnsi="Arial" w:cs="Arial"/>
          <w:color w:val="222222"/>
          <w:shd w:val="clear" w:color="auto" w:fill="FFFFFF"/>
        </w:rPr>
      </w:pPr>
      <w:r w:rsidRPr="00FC7181">
        <w:rPr>
          <w:rFonts w:ascii="Arial" w:hAnsi="Arial" w:cs="Arial"/>
          <w:b/>
          <w:color w:val="222222"/>
          <w:shd w:val="clear" w:color="auto" w:fill="FFFFFF"/>
        </w:rPr>
        <w:t>Le IBD dopo 8 anni</w:t>
      </w:r>
      <w:r w:rsidRPr="00FC7181">
        <w:rPr>
          <w:rFonts w:ascii="Arial" w:hAnsi="Arial" w:cs="Arial"/>
          <w:color w:val="222222"/>
          <w:shd w:val="clear" w:color="auto" w:fill="FFFFFF"/>
        </w:rPr>
        <w:t xml:space="preserve"> dall'inizio dei sintomi </w:t>
      </w:r>
      <w:r w:rsidRPr="00FC7181">
        <w:rPr>
          <w:rFonts w:ascii="Arial" w:hAnsi="Arial" w:cs="Arial"/>
          <w:color w:val="222222"/>
          <w:u w:val="single"/>
          <w:shd w:val="clear" w:color="auto" w:fill="FFFFFF"/>
        </w:rPr>
        <w:t>devono fare colonscopia con biopsie multiple</w:t>
      </w:r>
      <w:r w:rsidRPr="00FC7181">
        <w:rPr>
          <w:rFonts w:ascii="Arial" w:hAnsi="Arial" w:cs="Arial"/>
          <w:color w:val="222222"/>
          <w:shd w:val="clear" w:color="auto" w:fill="FFFFFF"/>
        </w:rPr>
        <w:t xml:space="preserve"> di tutto il colon</w:t>
      </w:r>
    </w:p>
    <w:p w:rsidR="000B6396" w:rsidRDefault="00D90116" w:rsidP="00FC7181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pazienti sottoposti a colectomia totale per IBD possono sviluppare un </w:t>
      </w:r>
      <w:r w:rsidRPr="00FC7181">
        <w:rPr>
          <w:rFonts w:ascii="Arial" w:hAnsi="Arial" w:cs="Arial"/>
          <w:color w:val="222222"/>
          <w:u w:val="single"/>
          <w:shd w:val="clear" w:color="auto" w:fill="FFFFFF"/>
        </w:rPr>
        <w:t>tumore sul moncone rettale</w:t>
      </w:r>
      <w:r>
        <w:rPr>
          <w:rFonts w:ascii="Arial" w:hAnsi="Arial" w:cs="Arial"/>
          <w:color w:val="222222"/>
          <w:shd w:val="clear" w:color="auto" w:fill="FFFFFF"/>
        </w:rPr>
        <w:t xml:space="preserve"> (incidenza complessiva circa 2%)</w:t>
      </w:r>
      <w:r w:rsidR="00FC7181"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 w:rsidRPr="00FC7181">
        <w:rPr>
          <w:rFonts w:ascii="Arial" w:hAnsi="Arial" w:cs="Arial"/>
          <w:i/>
          <w:color w:val="222222"/>
          <w:shd w:val="clear" w:color="auto" w:fill="FFFFFF"/>
        </w:rPr>
        <w:t>nuove metodiche, come la cromo- endoscopia elettronica (NBI) e l’</w:t>
      </w:r>
      <w:proofErr w:type="spellStart"/>
      <w:r w:rsidRPr="00FC7181">
        <w:rPr>
          <w:rFonts w:ascii="Arial" w:hAnsi="Arial" w:cs="Arial"/>
          <w:i/>
          <w:color w:val="222222"/>
          <w:shd w:val="clear" w:color="auto" w:fill="FFFFFF"/>
        </w:rPr>
        <w:t>endomicroscopia</w:t>
      </w:r>
      <w:proofErr w:type="spellEnd"/>
      <w:r w:rsidRPr="00FC7181">
        <w:rPr>
          <w:rFonts w:ascii="Arial" w:hAnsi="Arial" w:cs="Arial"/>
          <w:i/>
          <w:color w:val="222222"/>
          <w:shd w:val="clear" w:color="auto" w:fill="FFFFFF"/>
        </w:rPr>
        <w:t xml:space="preserve"> (</w:t>
      </w:r>
      <w:proofErr w:type="spellStart"/>
      <w:r w:rsidRPr="00FC7181">
        <w:rPr>
          <w:rFonts w:ascii="Arial" w:hAnsi="Arial" w:cs="Arial"/>
          <w:i/>
          <w:color w:val="222222"/>
          <w:shd w:val="clear" w:color="auto" w:fill="FFFFFF"/>
        </w:rPr>
        <w:t>pCLE</w:t>
      </w:r>
      <w:proofErr w:type="spellEnd"/>
      <w:r w:rsidRPr="00FC7181">
        <w:rPr>
          <w:rFonts w:ascii="Arial" w:hAnsi="Arial" w:cs="Arial"/>
          <w:i/>
          <w:color w:val="222222"/>
          <w:shd w:val="clear" w:color="auto" w:fill="FFFFFF"/>
        </w:rPr>
        <w:t xml:space="preserve">) permettono di evidenziare precocemente le alterazioni </w:t>
      </w:r>
      <w:proofErr w:type="spellStart"/>
      <w:r w:rsidRPr="00FC7181">
        <w:rPr>
          <w:rFonts w:ascii="Arial" w:hAnsi="Arial" w:cs="Arial"/>
          <w:i/>
          <w:color w:val="222222"/>
          <w:shd w:val="clear" w:color="auto" w:fill="FFFFFF"/>
        </w:rPr>
        <w:t>mucosali</w:t>
      </w:r>
      <w:proofErr w:type="spellEnd"/>
      <w:r w:rsidRPr="00FC7181">
        <w:rPr>
          <w:rFonts w:ascii="Arial" w:hAnsi="Arial" w:cs="Arial"/>
          <w:i/>
          <w:color w:val="222222"/>
          <w:shd w:val="clear" w:color="auto" w:fill="FFFFFF"/>
        </w:rPr>
        <w:t xml:space="preserve"> ed effettuare biopsie mirate</w:t>
      </w:r>
      <w:r w:rsidRPr="00FC7181">
        <w:rPr>
          <w:rFonts w:ascii="Arial" w:hAnsi="Arial" w:cs="Arial"/>
          <w:i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Fattori di protezione contro tumori nelle MICI sono</w:t>
      </w:r>
    </w:p>
    <w:p w:rsidR="000B6396" w:rsidRPr="000B6396" w:rsidRDefault="00D90116" w:rsidP="000B6396">
      <w:pPr>
        <w:pStyle w:val="Paragrafoelenco"/>
        <w:numPr>
          <w:ilvl w:val="0"/>
          <w:numId w:val="1"/>
        </w:numPr>
        <w:rPr>
          <w:rFonts w:ascii="Arial" w:hAnsi="Arial" w:cs="Arial"/>
          <w:color w:val="222222"/>
          <w:shd w:val="clear" w:color="auto" w:fill="FFFFFF"/>
        </w:rPr>
      </w:pPr>
      <w:r w:rsidRPr="000B6396">
        <w:rPr>
          <w:rFonts w:ascii="Arial" w:hAnsi="Arial" w:cs="Arial"/>
          <w:color w:val="222222"/>
          <w:shd w:val="clear" w:color="auto" w:fill="FFFFFF"/>
        </w:rPr>
        <w:t xml:space="preserve">il trattamento specifico (farmacologico o chirurgico), </w:t>
      </w:r>
    </w:p>
    <w:p w:rsidR="000B6396" w:rsidRPr="000B6396" w:rsidRDefault="00D90116" w:rsidP="000B6396">
      <w:pPr>
        <w:pStyle w:val="Paragrafoelenco"/>
        <w:numPr>
          <w:ilvl w:val="0"/>
          <w:numId w:val="1"/>
        </w:numPr>
        <w:rPr>
          <w:rFonts w:ascii="Arial" w:hAnsi="Arial" w:cs="Arial"/>
          <w:color w:val="222222"/>
          <w:shd w:val="clear" w:color="auto" w:fill="FFFFFF"/>
        </w:rPr>
      </w:pPr>
      <w:r w:rsidRPr="000B6396">
        <w:rPr>
          <w:rFonts w:ascii="Arial" w:hAnsi="Arial" w:cs="Arial"/>
          <w:color w:val="222222"/>
          <w:shd w:val="clear" w:color="auto" w:fill="FFFFFF"/>
        </w:rPr>
        <w:t xml:space="preserve">la sorveglianza endoscopica </w:t>
      </w:r>
    </w:p>
    <w:p w:rsidR="000B6396" w:rsidRDefault="00D90116" w:rsidP="000B6396">
      <w:pPr>
        <w:pStyle w:val="Paragrafoelenco"/>
        <w:numPr>
          <w:ilvl w:val="0"/>
          <w:numId w:val="1"/>
        </w:numPr>
        <w:rPr>
          <w:rFonts w:ascii="Arial" w:hAnsi="Arial" w:cs="Arial"/>
          <w:color w:val="222222"/>
          <w:shd w:val="clear" w:color="auto" w:fill="FFFFFF"/>
        </w:rPr>
      </w:pPr>
      <w:r w:rsidRPr="000B6396">
        <w:rPr>
          <w:rFonts w:ascii="Arial" w:hAnsi="Arial" w:cs="Arial"/>
          <w:color w:val="222222"/>
          <w:shd w:val="clear" w:color="auto" w:fill="FFFFFF"/>
        </w:rPr>
        <w:t>la prevenzione farmacologica con acido acetilsalicilico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</w:p>
    <w:p w:rsidR="007A25C7" w:rsidRDefault="00D90116" w:rsidP="000B6396">
      <w:pPr>
        <w:rPr>
          <w:rFonts w:ascii="Arial" w:hAnsi="Arial" w:cs="Arial"/>
          <w:b/>
          <w:color w:val="222222"/>
          <w:shd w:val="clear" w:color="auto" w:fill="FFFFFF"/>
        </w:rPr>
      </w:pPr>
      <w:r w:rsidRPr="000B6396">
        <w:rPr>
          <w:rFonts w:ascii="Arial" w:hAnsi="Arial" w:cs="Arial"/>
          <w:color w:val="222222"/>
          <w:shd w:val="clear" w:color="auto" w:fill="FFFFFF"/>
        </w:rPr>
        <w:t>Parenti di primo grado di pazienti con adenomi o tumori del grosso intestino hanno un rischio maggiore di sviluppare un cancro colon-rettale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Individuazione di familiari affetti da mutazioni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germline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e loro coinvolgimento in protocolli di sorveglianza efficaci per ridurre la loro mortalità per cancro. Infatti, per la Sindrome di Lynch, la più frequente SPE-CCR, si stima una riduzione di incidenza e mortalità per CCR nei familiari a rischio del 60-70%, sulla base di studi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osservazionali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>.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Linch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o HNPCC: 3% Dei CCR, poi c'è la FAP e la AFAP (forma attenuata)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7A25C7">
        <w:rPr>
          <w:rFonts w:ascii="Arial" w:hAnsi="Arial" w:cs="Arial"/>
          <w:b/>
          <w:color w:val="222222"/>
          <w:shd w:val="clear" w:color="auto" w:fill="FFFFFF"/>
        </w:rPr>
        <w:t>Lesioni PRECANCEROSE:</w:t>
      </w:r>
    </w:p>
    <w:p w:rsidR="007A25C7" w:rsidRPr="007A25C7" w:rsidRDefault="00D90116" w:rsidP="007A25C7">
      <w:pPr>
        <w:pStyle w:val="Paragrafoelenco"/>
        <w:numPr>
          <w:ilvl w:val="0"/>
          <w:numId w:val="2"/>
        </w:numPr>
        <w:rPr>
          <w:rFonts w:ascii="Arial" w:hAnsi="Arial" w:cs="Arial"/>
          <w:color w:val="222222"/>
          <w:shd w:val="clear" w:color="auto" w:fill="FFFFFF"/>
        </w:rPr>
      </w:pPr>
      <w:r w:rsidRPr="007A25C7">
        <w:rPr>
          <w:rFonts w:ascii="Arial" w:hAnsi="Arial" w:cs="Arial"/>
          <w:color w:val="222222"/>
          <w:shd w:val="clear" w:color="auto" w:fill="FFFFFF"/>
        </w:rPr>
        <w:t>PPA polipi peduncolati adenomatosi</w:t>
      </w:r>
    </w:p>
    <w:p w:rsidR="007A25C7" w:rsidRPr="007A25C7" w:rsidRDefault="00D90116" w:rsidP="007A25C7">
      <w:pPr>
        <w:pStyle w:val="Paragrafoelenco"/>
        <w:numPr>
          <w:ilvl w:val="0"/>
          <w:numId w:val="2"/>
        </w:numPr>
        <w:rPr>
          <w:rFonts w:ascii="Arial" w:hAnsi="Arial" w:cs="Arial"/>
          <w:color w:val="222222"/>
          <w:shd w:val="clear" w:color="auto" w:fill="FFFFFF"/>
        </w:rPr>
      </w:pPr>
      <w:r w:rsidRPr="007A25C7">
        <w:rPr>
          <w:rFonts w:ascii="Arial" w:hAnsi="Arial" w:cs="Arial"/>
          <w:color w:val="222222"/>
          <w:shd w:val="clear" w:color="auto" w:fill="FFFFFF"/>
        </w:rPr>
        <w:t>PSS polipi sessili serrati</w:t>
      </w:r>
    </w:p>
    <w:p w:rsidR="00766D77" w:rsidRPr="000B6396" w:rsidRDefault="00D90116" w:rsidP="000B6396">
      <w:pPr>
        <w:rPr>
          <w:rFonts w:ascii="Arial" w:hAnsi="Arial" w:cs="Arial"/>
          <w:color w:val="222222"/>
          <w:shd w:val="clear" w:color="auto" w:fill="FFFFFF"/>
        </w:rPr>
      </w:pP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soggetti a elevato rischio per familiarità (diagnosi di tumore del colon o retto in un parente di I grado di età &lt; ai 50 anni, o in due familiari consanguinei di I grado), anche in assenza di sintomi significativi, devono essere inviati presso un ambulatorio di screening dei tumori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eredo-familiari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, per una valutazione del rischio e la programmazione degli accertamenti e delle misure di sorveglianza appropriati, </w:t>
      </w:r>
      <w:r w:rsidRPr="00766D77">
        <w:rPr>
          <w:rFonts w:ascii="Arial" w:hAnsi="Arial" w:cs="Arial"/>
          <w:b/>
          <w:color w:val="222222"/>
          <w:u w:val="single"/>
          <w:shd w:val="clear" w:color="auto" w:fill="FFFFFF"/>
        </w:rPr>
        <w:t>10 anni prima del caso indice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Screening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colorettale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: RSOF si faceva il test al guaiaco (utilizzato negli studi degli anni ‘80-‘90 ed il test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immunochimico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(utilizzato attualmente).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In particolare la riduzione della mortalità arriva al 46% per i tumori del retto-sigma che </w:t>
      </w:r>
      <w:r w:rsidRPr="000B6396">
        <w:rPr>
          <w:rFonts w:ascii="Arial" w:hAnsi="Arial" w:cs="Arial"/>
          <w:color w:val="222222"/>
          <w:shd w:val="clear" w:color="auto" w:fill="FFFFFF"/>
        </w:rPr>
        <w:lastRenderedPageBreak/>
        <w:t>risultano quindi essere maggiormente diagnosticati con i test di screening endoscopici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marcatori fecali, il DNA circolante e la colonscopia virtuale vanno ancora considerate metodiche sperimentali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raccomandata l’esecuzione della RSOF ogni 2 anni seguita da colonscopia se positiva a partire da 50 anni fino a 70 anni di età (tra i 70 e gli 85 anni si suggerisce un approccio personalizzato sulla base dell’aspettativa di vita)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soggetti ad elevato sospetto di nuova diagnosi di tumore del retto intendiamo coloro che presentino almeno 1 dei seguenti: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Soggetti di età ≥ 40 anni e &lt; 60 anni con sanguinamento rettale associato ad alterazioni dell’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alvo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(comparsa di incontinenza e/o aumento della frequenza delle evacuazioni) che persistono da 6 mesi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Soggetti di ≥ 60 anni con sanguinamento rettale E/O alterazioni dell’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alvo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(comparsa di incontinenza e/o aumento della frequenza delle evacuazioni) persistenti da almeno 6 settimane.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Uomini con riscontro di anemia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sideropenica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con valori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emoglobinici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≤ 11 gr/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dL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, non giustificabile con altre motivazioni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clinico-patologiche</w:t>
      </w:r>
      <w:proofErr w:type="spellEnd"/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Donne in menopausa con valori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emoglobinici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≤ 10 gr/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dL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non giustificabili in altro modo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Chiunque con RSO positivo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Pz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con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linfomi, ulcere solitarie del retto, malattie infiammatorie croniche intestinali non richiedono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Surgery</w:t>
      </w:r>
      <w:proofErr w:type="spellEnd"/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L’utilizzo della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cromoendoscopia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(NBI) con magnificazione elettronica può venir preso in considerazione al fine di migliorare l’accuratezza della diagnosi in vivo.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lesioni polipoidi con invasione della sola mucosa o sottomucosa: Resezione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Mucosale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Endoscopica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enbloc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se &lt;2cm,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piecemeal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se &gt; 2 cm.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Se bio non dirimente su lesione sospetta è indicata la MACROBIO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Nell’ambito dell’inquadramento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stadiativo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delle neoplasie del retto è fondamentale distinguere le neoplasie intraperitoneali dalle extraperitoneali poiché le prime possono essere considerate e trattate come tumori del colon e non richiedere quindi (di solito) un approccio di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stadiazione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e management multidisciplinare.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Retto: 3 segmenti di 4 cm separati da 3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pliche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interne o valvole di Houston: la superiore e l’inferiore a sinistra ed una mediana a destra; quest’ultima, detta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plica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di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Kouhlraush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>, è la più costante e corrisponde alla riflessione anteriore peritoneale.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La parete posteriore del retto è tutta extraperitoneale non esistendo, posteriormente, alcun </w:t>
      </w:r>
      <w:r w:rsidRPr="000B6396">
        <w:rPr>
          <w:rFonts w:ascii="Arial" w:hAnsi="Arial" w:cs="Arial"/>
          <w:color w:val="222222"/>
          <w:shd w:val="clear" w:color="auto" w:fill="FFFFFF"/>
        </w:rPr>
        <w:lastRenderedPageBreak/>
        <w:t>rivestimento peritoneale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Il rettoscopio rigido consente di valutare con maggiore precisione di un endoscopio flessibile la distanza fra il margine inferiore del tumore e il margine anale esterno, dato essenziale per stabilire in quale parte del retto sia situata la neoplasia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Radio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chemioTP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funziona meglio nel retto medio basso (fino a 10 cm)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xke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c'è meno TX adiposo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meso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rettale. Anche le Recidive variano (3% per il retto alto, 8% per il retto medio e 14% per il retto basso).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Inoltre il peritoneo del retto intraperitoneale limita in parte la disseminazione della neoplasia.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Negli stadi iniziali (cT1-2), la metodica di prima scelta nella differenziazione T1 vs T2 è l’ecografia trans rettale. Negli stadi localmente avanzati la RM della pelvi è l’esame di prima scelta nella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stadiazione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locale.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stadiazione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locale in base alla RM: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-T3 a,b o T3 iniziale (≤5 mm infiltrazione extraparietale )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-T3c,d (&gt;5 mm infiltrazione extraparietale )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-infiltrazione della fascia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perirettale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> (MRF) se la distanza tra neoplasia e MRF è ≤1 mm.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La distanza tra neoplasia e MRF compresa tra 1-2 mm è sospetta.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La distanza tra neoplasia e MRF &gt; 2 mm definisce l’assenza di infiltrazione;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T4a infiltrazione peritoneo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T4b infiltrazione di altri organi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rapporti con l’apparato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sfinteriale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>: infiltrazione dello sfintere anale interno,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del piano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intersfinteriale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>,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dello sfintere anale esterno,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dei muscoli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elavatori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dell’ano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l’infiltrazione macroscopica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perivascolare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(EMVI),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depositi tumorali nel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meso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retto presenza di componente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mucinosa</w:t>
      </w:r>
      <w:proofErr w:type="spellEnd"/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il criterio dimensionale, asse corto ≥ 9 mm, è considerato valido per definire maligno un linfonodo,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Se hanno mucina nel contesto sono patologici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(tutto questo in base alla RM)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Una.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Stadiazione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N con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imaging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non esiste.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TC torace addome e se rimangono dubbi sul fegato: RMN EPATICA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lastRenderedPageBreak/>
        <w:t xml:space="preserve">CHICCHE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DI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APA</w:t>
      </w:r>
      <w:r w:rsidRPr="000B6396">
        <w:rPr>
          <w:rFonts w:ascii="Arial" w:hAnsi="Arial" w:cs="Arial"/>
          <w:color w:val="222222"/>
        </w:rPr>
        <w:br/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budding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tumorale: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cells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o isole di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cells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tumorali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distinguendo tra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mesoretto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completo, irregolare e incompleto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qualità della TME valutata secondo i criteri di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Quirke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(Grade1, Grade2, Grade3) correla strettamente con l’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outcome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oncologico:</w:t>
      </w:r>
      <w:r w:rsidRPr="000B6396">
        <w:rPr>
          <w:rFonts w:ascii="Arial" w:hAnsi="Arial" w:cs="Arial"/>
          <w:color w:val="222222"/>
        </w:rPr>
        <w:br/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Grade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3 (completo) recidive locali e a distanza rispettivamente dell’1.6-1.6%,</w:t>
      </w:r>
      <w:r w:rsidRPr="000B6396">
        <w:rPr>
          <w:rFonts w:ascii="Arial" w:hAnsi="Arial" w:cs="Arial"/>
          <w:color w:val="222222"/>
        </w:rPr>
        <w:br/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Grade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2 (irregolare) del 5.7- 17%</w:t>
      </w:r>
      <w:r w:rsidRPr="000B6396">
        <w:rPr>
          <w:rFonts w:ascii="Arial" w:hAnsi="Arial" w:cs="Arial"/>
          <w:color w:val="222222"/>
        </w:rPr>
        <w:br/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Grade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1 (incompleta) del 41- 59%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Invasione intramurale: criterio prognostico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Num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minimo di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lnf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tx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perirettale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>: 12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Ma non esiste un numero minimo nei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pz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dopo neoadiuvante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La risposta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colloid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è dopo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tp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neoadiuvante, anch’essa descritta in carcinomi del retto sottoposti a terapia neoadiuvante, è frequente (13-30% di casi) ma presenta meccanismi di genesi ignoti. 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Grado (sec.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Mandard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>)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1 Non cellule tumorali residue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2 Occasionali cellule t. marcata fibrosi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3 Marcata fibrosi cellule t. sparse o in gruppi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4 Abbondanti cellule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t.scarsa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fibrosi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5 Non regressione tumorale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Grado (sec.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Dworack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>)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TRG 0: no regressione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TRG 1: regressione con fibrosi inferiore al 25%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TRG 2: fino al 26-50% della massa tumorale residua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TRG 3: superiore al 50% della massa tumorale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TRG 4: Regressione completa ( solo fibrosi)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VII edizione dell’AJCC entrerà in vigore dal Gennaio 2018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la nuova edizione TNM UICC mantiene la categoria pN1c per segnalare i depositi tumorali satelliti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aggiunta anche una categoria M1c per la carcinosi peritoneale.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PATOGENESI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L’instabilità cromosomica (CIN)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è alla base delle d'elezione dei geni oncogeni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APC, TP53, KRAS, BRAF, PTEN, SRC,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TGF-b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>, SMAD 2 e 4,...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L’instabilità dei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microsatelliti</w:t>
      </w:r>
      <w:proofErr w:type="spellEnd"/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lastRenderedPageBreak/>
        <w:t>La metilazione aberrante del DNA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Analisi mutazionale e classificazione conseguente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Parametri coinvolti sono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Instabilità satellitare</w:t>
      </w:r>
      <w:r w:rsidRPr="000B6396">
        <w:rPr>
          <w:rFonts w:ascii="Arial" w:hAnsi="Arial" w:cs="Arial"/>
          <w:color w:val="222222"/>
        </w:rPr>
        <w:br/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Risp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immune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Invasione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stromale</w:t>
      </w:r>
      <w:proofErr w:type="spellEnd"/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Angiogenesi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Esistono da un punto di vista molecolare uno spettro di k che dal destro vanno al retto "carcinomi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colorettali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sinistri"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mutazioni di KRAS ed NRAS sono predittive di resistenza a farmaci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anti-EGFR</w:t>
      </w:r>
      <w:proofErr w:type="spellEnd"/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Terapia per stadio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Tis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e T1 a basso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risk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&lt;3cm... del retto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medio-basso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(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max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10 cm dal m. a.) margine libero minimo 3 mm... TEM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Se APA definitivo G 1-2, no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budding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, no invasione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angio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>, margini puliti 1mm minimo, T1sm1.... Solo FU stretto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La biopsia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escissionale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in questo caso è pure diagnostica ma non stadia N (x questo non si fa ai T1, 2,3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risk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di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mts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mesorettali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del 12, 35,70%)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Se fatta in questi casi necessita di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tatuatura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e TME di totalizzazione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Stadio T1 N0.....TME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Nuova sottoclasse (basata su quanta sottomucosa coinvolta)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T1 sm1 1/3...... %N+ 3%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T1sm2 2/3...... %N+ 8%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T1sm3 3/3...... %N+ 20%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Se T2 ultra basso (4cm dal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m.a.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) fare CHT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neoad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(oppure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miles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>)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Se dopo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neoad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c'è stata ottima risposta....... TME o TEM sono uguali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Se perfori il T diventa stadio avanzato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due modalità di erogazione della radioterapia preoperatoria: la radioterapia long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course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(45-50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Gy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in 25 frazioni) seguita da chirurgia ritardata (LCRT) e la radioterapia short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course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(25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Gy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in 5 frazioni) seguita da chirurgia immediata (entro una settimana dal termine) (SCRT).... Meglio la short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course</w:t>
      </w:r>
      <w:proofErr w:type="spellEnd"/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carcinoma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colorettale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si presenta con caratteristiche di urgenza, in particolare con una occlusione addominale. In assenza di perforazione o sanguinamento che metta a rischio di vita immediato il paziente il posizionamento di uno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stent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è un’opzione accettabile tenendo conto del rischio di dislocazione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Se non possibile mettere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stent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: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stomia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decompressiva</w:t>
      </w:r>
      <w:proofErr w:type="spellEnd"/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lastRenderedPageBreak/>
        <w:br/>
      </w:r>
      <w:r w:rsidRPr="000B6396">
        <w:rPr>
          <w:rFonts w:ascii="Arial" w:hAnsi="Arial" w:cs="Arial"/>
          <w:color w:val="222222"/>
          <w:shd w:val="clear" w:color="auto" w:fill="FFFFFF"/>
        </w:rPr>
        <w:t>TME</w:t>
      </w:r>
      <w:r w:rsidRPr="000B6396">
        <w:rPr>
          <w:rFonts w:ascii="Arial" w:hAnsi="Arial" w:cs="Arial"/>
          <w:color w:val="222222"/>
        </w:rPr>
        <w:br/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holy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plane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Tra fascia del retto e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presacrale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, risparmio dei nervi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autonomici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(Impotenza, ves uva Neurogena)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Se k oltre i 10 cm retto alto, si asporta fino ai 5 cm di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mesoretto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più in basso.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Margine ok di 2 cm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Nel frattempo, a differenza del carcinoma del colon, non può essere raccomandato l’uso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routinario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della chirurgia laparoscopica nel carcinoma del retto localmente avanzato. 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Generalmente la chiusura della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stomia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viene programmata dopo 2 mesi dall’intervento chirurgico, tuttavia nei pazienti sottoposti a chemioterapia adiuvante, alcuni sospendono la terapia adiuvante per permettere la chiusura della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stomia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, altri posticipano la chiusura della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stomia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al termine della chemioterapia adiuvante.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La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stomia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si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puo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chiudere dopo 2 settimane se lo chiede il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pz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o per grave perdita di elettroliti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Pz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con CHT RT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neoad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e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risp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completa: esistono studi di non operatività. L’approccio NOM va riservato solo ai pazienti con risposta clinica completa, mentre la EL trova indicazione anche in pazienti con risposta clinica maggiore.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Ricorda che a fronte di un progressivo decremento delle recidive locali grazie ai trattamenti combinati, il tasso di metastasi a distanza è invece rimasto invariato negli ultimi 30 anni e rappresenta la principale causa di morte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Visti i cambiamenti alle indicazioni chirurgiche vale la regola che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La resezione dovrebbe essere considerata dopo ogni trattamento preoperatorio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neoad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>, fino a controindicazione assoluta.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pazienti con carcinoma del retto metastatico con sintomatologia occlusiva la chirurgia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decompressiva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dovrebbe precedere la chirurgia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resettiva</w:t>
      </w:r>
      <w:proofErr w:type="spellEnd"/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L’evidenza clinica e/o radiologica di perforazione rappresenta invece una controindicazione assoluta al posizionamento di uno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stent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>.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Lo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stent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si può usare se occlusione da k. Non operabile o benigna, secondaria a chirurgia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pazienti con tumore al colon sinistro potenzialmente curabile ma ostruente, la collocazione di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stent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può essere una alternativa alla chirurgia di emergenza nei pazienti che hanno un aumentato rischio di mortalità post-operatoria.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recidiva locale può essere distinta in recidiva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anastomotica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> (meglio operabile) e recidiva pelvica isolata.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(spesso non raggiungibile)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La diagnosi di recidiva potrebbe quindi non avere una prova bioptica, ma scaturire dalla valutazione integrata di sintomi, esami di laboratorio (CEA) e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imaging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>.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pazienti con recidiva pelvica isolata da carcinoma del retto la chirurgia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resettiva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senza </w:t>
      </w:r>
      <w:r w:rsidRPr="000B6396">
        <w:rPr>
          <w:rFonts w:ascii="Arial" w:hAnsi="Arial" w:cs="Arial"/>
          <w:color w:val="222222"/>
          <w:shd w:val="clear" w:color="auto" w:fill="FFFFFF"/>
        </w:rPr>
        <w:lastRenderedPageBreak/>
        <w:t>intento curativo non deve essere effettuata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analisi retrospettive che hanno dimostrato una peggiore prognosi in sopravvivenza per i pazienti metastatici con neoplasia primitiva a destra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Scenari metastatici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K e MTS resecabili: CHT RT poi chirurgia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K resecabile MTS no : CHT RT poi chirurgia sul primitivo se metastasi controllate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Chirurgia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“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liver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first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approach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>"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Nei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pz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k. Retto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MTS+</w:t>
      </w:r>
      <w:proofErr w:type="spellEnd"/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Tolgo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mts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liver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, faccio CHT  e RT poi eventualmente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chir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colon retto.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vantaggi: evitano intervento peso al colon se non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risp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alle terapie pregresse, la MTS I'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mpatta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di più sulla vita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La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tp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di MTS A DISTANZA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metacrone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è uguale tra colon e retto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l'incidenza di un secondo tumore del colon-retto primario presenta un rischio cumulativo crescente del 3% ogni 6 anni.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>Sulla base di tali evidenze, dunque, si può affermare che l’impiego di un follow-up “intensivo” (modalità e tempistiche ideali non sono però chiarite in maniera definitiva)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colonscopia dopo 1 anno dalla resezione chirurgica(oppure a 3-6 mesi se non è stata eseguita in modo completo prima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dellaresezione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per tumori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stenosanti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>/occludenti)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intervento di resezione anteriore bassa per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tumoredel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retto in assenza di radioterapia (RT) devono essere controllati con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unprogramma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di sorveglianza più intensivo che preveda almeno per i primi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dueanni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una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proctosigmoidoscopia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 xml:space="preserve"> flessibile ogni sei mesi</w:t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</w:rPr>
        <w:br/>
      </w:r>
      <w:r w:rsidRPr="000B6396">
        <w:rPr>
          <w:rFonts w:ascii="Arial" w:hAnsi="Arial" w:cs="Arial"/>
          <w:color w:val="222222"/>
          <w:shd w:val="clear" w:color="auto" w:fill="FFFFFF"/>
        </w:rPr>
        <w:t xml:space="preserve">nelle donne con diagnosi di cancro del colon-retto </w:t>
      </w:r>
      <w:proofErr w:type="spellStart"/>
      <w:r w:rsidRPr="000B6396">
        <w:rPr>
          <w:rFonts w:ascii="Arial" w:hAnsi="Arial" w:cs="Arial"/>
          <w:color w:val="222222"/>
          <w:shd w:val="clear" w:color="auto" w:fill="FFFFFF"/>
        </w:rPr>
        <w:t>primadell</w:t>
      </w:r>
      <w:proofErr w:type="spellEnd"/>
      <w:r w:rsidRPr="000B6396">
        <w:rPr>
          <w:rFonts w:ascii="Arial" w:hAnsi="Arial" w:cs="Arial"/>
          <w:color w:val="222222"/>
          <w:shd w:val="clear" w:color="auto" w:fill="FFFFFF"/>
        </w:rPr>
        <w:t>'età di 65 anni l’Incidenza di un secondo tumore del collo dell'utero,corpo dell'utero e dell'ovaio è significativamente maggiore</w:t>
      </w:r>
    </w:p>
    <w:sectPr w:rsidR="00766D77" w:rsidRPr="000B63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03B70"/>
    <w:multiLevelType w:val="hybridMultilevel"/>
    <w:tmpl w:val="D2F8FE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6B6EF3"/>
    <w:multiLevelType w:val="hybridMultilevel"/>
    <w:tmpl w:val="4B960C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283"/>
  <w:characterSpacingControl w:val="doNotCompress"/>
  <w:compat>
    <w:useFELayout/>
  </w:compat>
  <w:rsids>
    <w:rsidRoot w:val="00D90116"/>
    <w:rsid w:val="000307E8"/>
    <w:rsid w:val="000B6396"/>
    <w:rsid w:val="001F157B"/>
    <w:rsid w:val="00446696"/>
    <w:rsid w:val="00490763"/>
    <w:rsid w:val="00766D77"/>
    <w:rsid w:val="007A25C7"/>
    <w:rsid w:val="00D90116"/>
    <w:rsid w:val="00FC7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0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0116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C71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FC71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B0D98-EDEF-488B-AFD1-1AC4780E0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2138</Words>
  <Characters>12187</Characters>
  <Application>Microsoft Office Word</Application>
  <DocSecurity>0</DocSecurity>
  <Lines>101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FABBRI</dc:creator>
  <cp:lastModifiedBy>FABBRI</cp:lastModifiedBy>
  <cp:revision>2</cp:revision>
  <dcterms:created xsi:type="dcterms:W3CDTF">2020-01-14T19:42:00Z</dcterms:created>
  <dcterms:modified xsi:type="dcterms:W3CDTF">2020-01-14T19:42:00Z</dcterms:modified>
</cp:coreProperties>
</file>