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AA443F" w:rsidRPr="00FF62A0" w:rsidRDefault="00FF62A0" w:rsidP="00AA443F">
      <w:pPr>
        <w:jc w:val="center"/>
        <w:rPr>
          <w:b/>
          <w:sz w:val="28"/>
          <w:szCs w:val="28"/>
        </w:rPr>
      </w:pPr>
      <w:r w:rsidRPr="00FF62A0">
        <w:rPr>
          <w:b/>
          <w:sz w:val="28"/>
          <w:szCs w:val="28"/>
        </w:rPr>
        <w:t xml:space="preserve">APPUNTI TRATTI DA </w:t>
      </w:r>
      <w:r w:rsidR="00AA443F" w:rsidRPr="00FF62A0">
        <w:rPr>
          <w:b/>
          <w:sz w:val="28"/>
          <w:szCs w:val="28"/>
        </w:rPr>
        <w:t>CORSO SIUMB</w:t>
      </w:r>
      <w:r w:rsidRPr="00FF62A0">
        <w:rPr>
          <w:b/>
          <w:sz w:val="28"/>
          <w:szCs w:val="28"/>
        </w:rPr>
        <w:t xml:space="preserve"> IN</w:t>
      </w:r>
      <w:r w:rsidR="00AA443F" w:rsidRPr="00FF62A0">
        <w:rPr>
          <w:b/>
          <w:sz w:val="28"/>
          <w:szCs w:val="28"/>
        </w:rPr>
        <w:t xml:space="preserve"> ECOGRAFIA INTERVENTISTICA</w:t>
      </w:r>
      <w:r>
        <w:rPr>
          <w:b/>
          <w:noProof/>
          <w:lang w:eastAsia="it-IT"/>
        </w:rPr>
        <w:drawing>
          <wp:inline distT="0" distB="0" distL="0" distR="0">
            <wp:extent cx="2849245" cy="1605280"/>
            <wp:effectExtent l="19050" t="0" r="8255" b="0"/>
            <wp:docPr id="2" name="Immagine 5" descr="C:\Users\utente\Desktop\ech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Desktop\echo 1.jpg"/>
                    <pic:cNvPicPr>
                      <a:picLocks noChangeAspect="1" noChangeArrowheads="1"/>
                    </pic:cNvPicPr>
                  </pic:nvPicPr>
                  <pic:blipFill>
                    <a:blip r:embed="rId5" cstate="print"/>
                    <a:srcRect/>
                    <a:stretch>
                      <a:fillRect/>
                    </a:stretch>
                  </pic:blipFill>
                  <pic:spPr bwMode="auto">
                    <a:xfrm>
                      <a:off x="0" y="0"/>
                      <a:ext cx="2849245" cy="1605280"/>
                    </a:xfrm>
                    <a:prstGeom prst="rect">
                      <a:avLst/>
                    </a:prstGeom>
                    <a:ln>
                      <a:noFill/>
                    </a:ln>
                    <a:effectLst>
                      <a:softEdge rad="112500"/>
                    </a:effectLst>
                  </pic:spPr>
                </pic:pic>
              </a:graphicData>
            </a:graphic>
          </wp:inline>
        </w:drawing>
      </w:r>
      <w:r w:rsidR="00AA443F" w:rsidRPr="00FF62A0">
        <w:rPr>
          <w:b/>
          <w:sz w:val="28"/>
          <w:szCs w:val="28"/>
        </w:rPr>
        <w:t xml:space="preserve"> </w:t>
      </w:r>
    </w:p>
    <w:p w:rsidR="00015716" w:rsidRPr="00A74D63" w:rsidRDefault="00015716" w:rsidP="00FF62A0">
      <w:pPr>
        <w:shd w:val="clear" w:color="auto" w:fill="8DB3E2" w:themeFill="text2" w:themeFillTint="66"/>
        <w:rPr>
          <w:b/>
        </w:rPr>
      </w:pPr>
      <w:r w:rsidRPr="00A74D63">
        <w:rPr>
          <w:b/>
        </w:rPr>
        <w:t>ECOGRAFIA DEI LINFONODI</w:t>
      </w:r>
    </w:p>
    <w:p w:rsidR="00015716" w:rsidRDefault="00015716" w:rsidP="00015716">
      <w:r>
        <w:t xml:space="preserve">Linfoghiandole che presentano immagini </w:t>
      </w:r>
      <w:proofErr w:type="spellStart"/>
      <w:r>
        <w:t>iperecogene</w:t>
      </w:r>
      <w:proofErr w:type="spellEnd"/>
      <w:r>
        <w:t xml:space="preserve"> puntiformi prevalentemente periferiche, espressione di </w:t>
      </w:r>
      <w:proofErr w:type="spellStart"/>
      <w:r>
        <w:t>metastatizzazione</w:t>
      </w:r>
      <w:proofErr w:type="spellEnd"/>
      <w:r>
        <w:t xml:space="preserve"> da parte di carcinomi tiroidei.</w:t>
      </w:r>
    </w:p>
    <w:p w:rsidR="00015716" w:rsidRDefault="00015716" w:rsidP="00015716">
      <w:r>
        <w:t xml:space="preserve">Pazienti con adenopatia diffusa con sospetto di linfoma. In tali casi, essendo l’accuratezza diagnostica dell’esame citologico, come riportato in letteratura, variabile tra il 50% e il 60%, è sempre indicato eseguire un prelievo di tipo istologico con biopsia </w:t>
      </w:r>
      <w:proofErr w:type="spellStart"/>
      <w:r>
        <w:t>escissionale</w:t>
      </w:r>
      <w:proofErr w:type="spellEnd"/>
      <w:r>
        <w:t xml:space="preserve"> del linfonodo o, come indicato di recente da alcuni autori, mediante biopsia con ago tranciante di grosso calibro (</w:t>
      </w:r>
      <w:proofErr w:type="spellStart"/>
      <w:r>
        <w:t>Core-biopsy</w:t>
      </w:r>
      <w:proofErr w:type="spellEnd"/>
      <w:r>
        <w:t>).</w:t>
      </w:r>
    </w:p>
    <w:p w:rsidR="00015716" w:rsidRDefault="00015716" w:rsidP="00015716">
      <w:pPr>
        <w:rPr>
          <w:b/>
        </w:rPr>
      </w:pPr>
    </w:p>
    <w:p w:rsidR="00A74D63" w:rsidRDefault="00A74D63" w:rsidP="00FF62A0">
      <w:pPr>
        <w:shd w:val="clear" w:color="auto" w:fill="8DB3E2" w:themeFill="text2" w:themeFillTint="66"/>
        <w:rPr>
          <w:b/>
        </w:rPr>
      </w:pPr>
      <w:r w:rsidRPr="00A74D63">
        <w:rPr>
          <w:b/>
        </w:rPr>
        <w:t>ECOGRAFIA DELLA TIROIDE</w:t>
      </w:r>
    </w:p>
    <w:p w:rsidR="00A74D63" w:rsidRDefault="00A74D63">
      <w:r>
        <w:t xml:space="preserve">Le caratteristiche ecografiche che rendono sospetta una lesione focale e quindi da sottoporre a tale metodica, sono le seguenti: </w:t>
      </w:r>
    </w:p>
    <w:p w:rsidR="00A74D63" w:rsidRDefault="00A74D63">
      <w:pPr>
        <w:sectPr w:rsidR="00A74D63" w:rsidSect="007606BC">
          <w:pgSz w:w="11906" w:h="16838"/>
          <w:pgMar w:top="1417" w:right="1134" w:bottom="1134" w:left="1134" w:header="708" w:footer="708" w:gutter="0"/>
          <w:cols w:space="708"/>
          <w:docGrid w:linePitch="360"/>
        </w:sectPr>
      </w:pPr>
    </w:p>
    <w:p w:rsidR="00A74D63" w:rsidRDefault="00A74D63">
      <w:r>
        <w:lastRenderedPageBreak/>
        <w:t xml:space="preserve">• lesione solitaria solida </w:t>
      </w:r>
    </w:p>
    <w:p w:rsidR="00A74D63" w:rsidRDefault="00A74D63">
      <w:r>
        <w:t xml:space="preserve">• </w:t>
      </w:r>
      <w:proofErr w:type="spellStart"/>
      <w:r>
        <w:t>ipoecogenicità</w:t>
      </w:r>
      <w:proofErr w:type="spellEnd"/>
      <w:r>
        <w:t xml:space="preserve"> </w:t>
      </w:r>
    </w:p>
    <w:p w:rsidR="00A74D63" w:rsidRDefault="00A74D63">
      <w:r>
        <w:t xml:space="preserve">• margini irregolari </w:t>
      </w:r>
    </w:p>
    <w:p w:rsidR="00A74D63" w:rsidRDefault="00A74D63">
      <w:r>
        <w:t xml:space="preserve">• localizzazione sottocapsulare </w:t>
      </w:r>
    </w:p>
    <w:p w:rsidR="00A74D63" w:rsidRDefault="00A74D63">
      <w:r>
        <w:t xml:space="preserve">• invasione locale </w:t>
      </w:r>
    </w:p>
    <w:p w:rsidR="00A74D63" w:rsidRDefault="00A74D63">
      <w:r>
        <w:lastRenderedPageBreak/>
        <w:t xml:space="preserve">• natura eterogenea della lesione </w:t>
      </w:r>
    </w:p>
    <w:p w:rsidR="00A74D63" w:rsidRDefault="00A74D63">
      <w:r>
        <w:t xml:space="preserve">• lesione multifocale </w:t>
      </w:r>
    </w:p>
    <w:p w:rsidR="00A74D63" w:rsidRDefault="00A74D63">
      <w:r>
        <w:t xml:space="preserve">• </w:t>
      </w:r>
      <w:proofErr w:type="spellStart"/>
      <w:r>
        <w:t>microcalcificazioni</w:t>
      </w:r>
      <w:proofErr w:type="spellEnd"/>
      <w:r>
        <w:t xml:space="preserve"> </w:t>
      </w:r>
    </w:p>
    <w:p w:rsidR="00A74D63" w:rsidRDefault="00A74D63">
      <w:r>
        <w:t xml:space="preserve">• elevato flusso </w:t>
      </w:r>
      <w:proofErr w:type="spellStart"/>
      <w:r>
        <w:t>intranodulare</w:t>
      </w:r>
      <w:proofErr w:type="spellEnd"/>
      <w:r>
        <w:t xml:space="preserve"> al Color-Doppler </w:t>
      </w:r>
    </w:p>
    <w:p w:rsidR="00A74D63" w:rsidRDefault="00A74D63">
      <w:pPr>
        <w:rPr>
          <w:b/>
        </w:rPr>
      </w:pPr>
      <w:r>
        <w:t xml:space="preserve">• linfonodi </w:t>
      </w:r>
      <w:proofErr w:type="spellStart"/>
      <w:r>
        <w:t>locoregionali</w:t>
      </w:r>
      <w:proofErr w:type="spellEnd"/>
      <w:r>
        <w:t xml:space="preserve"> sospetti in pazienti con noduli</w:t>
      </w:r>
    </w:p>
    <w:p w:rsidR="00A74D63" w:rsidRDefault="00A74D63">
      <w:pPr>
        <w:rPr>
          <w:b/>
        </w:rPr>
        <w:sectPr w:rsidR="00A74D63" w:rsidSect="00A74D63">
          <w:type w:val="continuous"/>
          <w:pgSz w:w="11906" w:h="16838"/>
          <w:pgMar w:top="1417" w:right="1134" w:bottom="1134" w:left="1134" w:header="708" w:footer="708" w:gutter="0"/>
          <w:cols w:num="2" w:space="708"/>
          <w:docGrid w:linePitch="360"/>
        </w:sectPr>
      </w:pPr>
    </w:p>
    <w:p w:rsidR="00A74D63" w:rsidRPr="00A74D63" w:rsidRDefault="00A74D63">
      <w:pPr>
        <w:rPr>
          <w:b/>
        </w:rPr>
      </w:pPr>
    </w:p>
    <w:p w:rsidR="00A74D63" w:rsidRDefault="00A74D63" w:rsidP="00163EC3">
      <w:pPr>
        <w:pStyle w:val="Paragrafoelenco"/>
        <w:numPr>
          <w:ilvl w:val="0"/>
          <w:numId w:val="1"/>
        </w:numPr>
      </w:pPr>
      <w:r>
        <w:t>Nonostante l'ausilio della guida ecografica, le dimensioni minime di un nodulo da analizzare devono essere &gt; 5mm.</w:t>
      </w:r>
    </w:p>
    <w:p w:rsidR="00A74D63" w:rsidRDefault="00A74D63" w:rsidP="00163EC3">
      <w:pPr>
        <w:pStyle w:val="Paragrafoelenco"/>
        <w:numPr>
          <w:ilvl w:val="0"/>
          <w:numId w:val="1"/>
        </w:numPr>
      </w:pPr>
      <w:r>
        <w:t>Tuttavia il limite più importante della metodica consiste nell'inefficacia di differenziazione tra un adenoma e un carcinoma follicolare.</w:t>
      </w:r>
    </w:p>
    <w:p w:rsidR="00A74D63" w:rsidRDefault="00163EC3" w:rsidP="00163EC3">
      <w:pPr>
        <w:pStyle w:val="Paragrafoelenco"/>
        <w:numPr>
          <w:ilvl w:val="0"/>
          <w:numId w:val="1"/>
        </w:numPr>
      </w:pPr>
      <w:r>
        <w:t>A tutt’oggi, una volta escluso il rischio di malignità con l’</w:t>
      </w:r>
      <w:proofErr w:type="spellStart"/>
      <w:r>
        <w:t>agoaspirato</w:t>
      </w:r>
      <w:proofErr w:type="spellEnd"/>
      <w:r>
        <w:t xml:space="preserve">, non esiste un trattamento preferenziale per i noduli tiroidei singoli o multipli. La terapia </w:t>
      </w:r>
      <w:proofErr w:type="spellStart"/>
      <w:r>
        <w:t>radiometabolica</w:t>
      </w:r>
      <w:proofErr w:type="spellEnd"/>
      <w:r>
        <w:t xml:space="preserve"> ha numerose controindicazioni ed un'efficacia limitata, soprattutto nelle forme non iperfunzionanti. La chirurgia tiroidea, anche nel caso di noduli benigni, consiste nella tiroidectomia totale in anestesia generale con possibilità di complicanze non trascurabili (danno del nervo laringeo, </w:t>
      </w:r>
      <w:proofErr w:type="spellStart"/>
      <w:r>
        <w:t>ipoparatiroidismo</w:t>
      </w:r>
      <w:proofErr w:type="spellEnd"/>
      <w:r>
        <w:t xml:space="preserve">, </w:t>
      </w:r>
      <w:r>
        <w:lastRenderedPageBreak/>
        <w:t xml:space="preserve">ipotiroidismo).Per queste ragioni, negli ultimi 20 anni sono state proposte procedure per il trattamento dei noduli tiroidei benigni di tipo </w:t>
      </w:r>
      <w:proofErr w:type="spellStart"/>
      <w:r>
        <w:t>miniinvasivo</w:t>
      </w:r>
      <w:proofErr w:type="spellEnd"/>
      <w:r>
        <w:t xml:space="preserve"> e alternative alla chirurgia.</w:t>
      </w:r>
    </w:p>
    <w:p w:rsidR="00163EC3" w:rsidRDefault="00163EC3">
      <w:r>
        <w:t>UNA VOLTE ESCLUSO SIA NODULO MALIGNO</w:t>
      </w:r>
      <w:r>
        <w:sym w:font="Wingdings" w:char="F0E0"/>
      </w:r>
      <w:r>
        <w:t xml:space="preserve"> L’alcolizzazione o </w:t>
      </w:r>
      <w:r w:rsidRPr="006E6A16">
        <w:rPr>
          <w:b/>
        </w:rPr>
        <w:t>Iniezione Percutanea di Etanolo (PEI)</w:t>
      </w:r>
      <w:r>
        <w:t xml:space="preserve"> consiste nell’iniezione di alcool etilico, mediante ago sottile, all’interno del nodulo tiroideo. </w:t>
      </w:r>
    </w:p>
    <w:p w:rsidR="00163EC3" w:rsidRDefault="00163EC3" w:rsidP="00163EC3">
      <w:pPr>
        <w:pStyle w:val="Paragrafoelenco"/>
        <w:numPr>
          <w:ilvl w:val="0"/>
          <w:numId w:val="2"/>
        </w:numPr>
      </w:pPr>
      <w:r>
        <w:t xml:space="preserve"> noduli </w:t>
      </w:r>
      <w:proofErr w:type="spellStart"/>
      <w:r>
        <w:t>ipervascolarizzati</w:t>
      </w:r>
      <w:proofErr w:type="spellEnd"/>
      <w:r>
        <w:t xml:space="preserve">, MEGLIO SE iperfunzionanti (HFTN) sempre </w:t>
      </w:r>
      <w:proofErr w:type="spellStart"/>
      <w:r>
        <w:t>ipervascolarizzati</w:t>
      </w:r>
      <w:proofErr w:type="spellEnd"/>
      <w:r>
        <w:t xml:space="preserve"> al color-doppler</w:t>
      </w:r>
    </w:p>
    <w:p w:rsidR="00163EC3" w:rsidRDefault="00B31980" w:rsidP="00B31980">
      <w:proofErr w:type="spellStart"/>
      <w:r>
        <w:t>metimazolo</w:t>
      </w:r>
      <w:proofErr w:type="spellEnd"/>
      <w:r>
        <w:t xml:space="preserve"> : interruzione dopo il termine delle sessioni di PEI</w:t>
      </w:r>
    </w:p>
    <w:p w:rsidR="00015716" w:rsidRDefault="00015716" w:rsidP="00B31980"/>
    <w:p w:rsidR="00B31980" w:rsidRDefault="00B31980" w:rsidP="00B3198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85pt;height:342.4pt">
            <v:imagedata r:id="rId6" o:title="ScreenHunter_165 Mar. 04 16.17"/>
          </v:shape>
        </w:pict>
      </w:r>
    </w:p>
    <w:p w:rsidR="00B31980" w:rsidRDefault="00B31980" w:rsidP="00B31980">
      <w:pPr>
        <w:rPr>
          <w:i/>
        </w:rPr>
      </w:pPr>
      <w:r w:rsidRPr="00B31980">
        <w:rPr>
          <w:i/>
        </w:rPr>
        <w:t xml:space="preserve">FLOW CHART DEL NODULO </w:t>
      </w:r>
      <w:proofErr w:type="spellStart"/>
      <w:r w:rsidRPr="00B31980">
        <w:rPr>
          <w:i/>
        </w:rPr>
        <w:t>IPERCAPTANTE\IPERVASCOLARIZZATO</w:t>
      </w:r>
      <w:proofErr w:type="spellEnd"/>
      <w:r w:rsidRPr="00B31980">
        <w:rPr>
          <w:i/>
        </w:rPr>
        <w:t xml:space="preserve"> NON MALIGNO DELLA TIROIDE</w:t>
      </w:r>
    </w:p>
    <w:p w:rsidR="00646C0F" w:rsidRDefault="002A09EA">
      <w:r>
        <w:t xml:space="preserve">Un'importante indicazione della </w:t>
      </w:r>
      <w:proofErr w:type="spellStart"/>
      <w:r>
        <w:t>alcoolizzazione</w:t>
      </w:r>
      <w:proofErr w:type="spellEnd"/>
      <w:r>
        <w:t xml:space="preserve"> percutanea </w:t>
      </w:r>
      <w:proofErr w:type="spellStart"/>
      <w:r>
        <w:t>ecoguidata</w:t>
      </w:r>
      <w:proofErr w:type="spellEnd"/>
      <w:r>
        <w:t xml:space="preserve"> sono i noduli cistici benigni . Dopo aspirazione, viene introdotto etanolo nella cavità residua allo scopo di sclerotizzare la parete ed </w:t>
      </w:r>
      <w:proofErr w:type="spellStart"/>
      <w:r>
        <w:t>evitere</w:t>
      </w:r>
      <w:proofErr w:type="spellEnd"/>
      <w:r>
        <w:t xml:space="preserve"> la </w:t>
      </w:r>
      <w:proofErr w:type="spellStart"/>
      <w:r>
        <w:t>secreziine</w:t>
      </w:r>
      <w:proofErr w:type="spellEnd"/>
      <w:r>
        <w:t xml:space="preserve"> colloide con </w:t>
      </w:r>
      <w:proofErr w:type="spellStart"/>
      <w:r>
        <w:t>consegueente</w:t>
      </w:r>
      <w:proofErr w:type="spellEnd"/>
      <w:r>
        <w:t xml:space="preserve"> recidiva.</w:t>
      </w:r>
    </w:p>
    <w:p w:rsidR="002A09EA" w:rsidRDefault="006E6A16">
      <w:r w:rsidRPr="006E6A16">
        <w:rPr>
          <w:b/>
        </w:rPr>
        <w:t xml:space="preserve">La ablazione laser percutanea </w:t>
      </w:r>
      <w:proofErr w:type="spellStart"/>
      <w:r w:rsidRPr="006E6A16">
        <w:rPr>
          <w:b/>
        </w:rPr>
        <w:t>ecoguidata</w:t>
      </w:r>
      <w:proofErr w:type="spellEnd"/>
      <w:r>
        <w:t xml:space="preserve"> (ILP, </w:t>
      </w:r>
      <w:proofErr w:type="spellStart"/>
      <w:r>
        <w:t>Interstitial</w:t>
      </w:r>
      <w:proofErr w:type="spellEnd"/>
      <w:r>
        <w:t xml:space="preserve"> </w:t>
      </w:r>
      <w:proofErr w:type="spellStart"/>
      <w:r>
        <w:t>Percutaneous</w:t>
      </w:r>
      <w:proofErr w:type="spellEnd"/>
      <w:r>
        <w:t xml:space="preserve"> </w:t>
      </w:r>
      <w:proofErr w:type="spellStart"/>
      <w:r>
        <w:t>Photocoagulation</w:t>
      </w:r>
      <w:proofErr w:type="spellEnd"/>
      <w:r>
        <w:t xml:space="preserve">) trova indicazione sia sui noduli iperfunzionanti e </w:t>
      </w:r>
      <w:proofErr w:type="spellStart"/>
      <w:r>
        <w:t>ipervascolarizzati</w:t>
      </w:r>
      <w:proofErr w:type="spellEnd"/>
      <w:r>
        <w:t xml:space="preserve"> che sui noduli freddi alla scintigrafia , </w:t>
      </w:r>
      <w:proofErr w:type="spellStart"/>
      <w:r>
        <w:t>purchè</w:t>
      </w:r>
      <w:proofErr w:type="spellEnd"/>
      <w:r>
        <w:t xml:space="preserve"> benigni.</w:t>
      </w:r>
    </w:p>
    <w:p w:rsidR="006E6A16" w:rsidRDefault="006E6A16"/>
    <w:p w:rsidR="00FF62A0" w:rsidRDefault="00FF62A0"/>
    <w:p w:rsidR="00646C0F" w:rsidRDefault="00646C0F" w:rsidP="00FF62A0">
      <w:pPr>
        <w:shd w:val="clear" w:color="auto" w:fill="8DB3E2" w:themeFill="text2" w:themeFillTint="66"/>
        <w:rPr>
          <w:b/>
        </w:rPr>
      </w:pPr>
      <w:r w:rsidRPr="00646C0F">
        <w:rPr>
          <w:b/>
        </w:rPr>
        <w:lastRenderedPageBreak/>
        <w:t>GHIANDOLE SALIVARI</w:t>
      </w:r>
    </w:p>
    <w:p w:rsidR="00646C0F" w:rsidRDefault="00646C0F">
      <w:r>
        <w:t>Pazienti con sindrome da immunodeficienza (AIDS) che presentano tumefazione della ghiandola parotide, potenziale espressione di Linfoma.</w:t>
      </w:r>
    </w:p>
    <w:p w:rsidR="00805077" w:rsidRDefault="00805077"/>
    <w:p w:rsidR="00805077" w:rsidRDefault="00805077" w:rsidP="00805077">
      <w:pPr>
        <w:shd w:val="clear" w:color="auto" w:fill="8DB3E2" w:themeFill="text2" w:themeFillTint="66"/>
      </w:pPr>
      <w:r>
        <w:t>TORACENTESI</w:t>
      </w:r>
    </w:p>
    <w:p w:rsidR="00FF62A0" w:rsidRDefault="00805077">
      <w:r>
        <w:t xml:space="preserve">l’ecografia fornisce informazioni sulle caratteristiche del versamento,  distinguere tra trasudati, tipicamente </w:t>
      </w:r>
      <w:proofErr w:type="spellStart"/>
      <w:r>
        <w:t>anecogeni</w:t>
      </w:r>
      <w:proofErr w:type="spellEnd"/>
      <w:r>
        <w:t xml:space="preserve">, ed essudati, </w:t>
      </w:r>
      <w:proofErr w:type="spellStart"/>
      <w:r>
        <w:t>sepimentati</w:t>
      </w:r>
      <w:proofErr w:type="spellEnd"/>
      <w:r>
        <w:t xml:space="preserve"> o a contenuto </w:t>
      </w:r>
      <w:proofErr w:type="spellStart"/>
      <w:r>
        <w:t>ecogeno</w:t>
      </w:r>
      <w:proofErr w:type="spellEnd"/>
      <w:r>
        <w:t xml:space="preserve"> </w:t>
      </w:r>
      <w:r w:rsidR="00812E0F">
        <w:t>corpus colato</w:t>
      </w:r>
    </w:p>
    <w:p w:rsidR="00812E0F" w:rsidRDefault="00812E0F">
      <w:r>
        <w:t xml:space="preserve">Indicato anche nello scompenso cardiaco e versamento pleurico bilaterale sintomatici non </w:t>
      </w:r>
      <w:proofErr w:type="spellStart"/>
      <w:r>
        <w:t>responsivi</w:t>
      </w:r>
      <w:proofErr w:type="spellEnd"/>
      <w:r>
        <w:t xml:space="preserve"> ad adeguata terapia diuretica.</w:t>
      </w:r>
    </w:p>
    <w:p w:rsidR="00812E0F" w:rsidRDefault="00812E0F">
      <w:r>
        <w:t>Controindicazioni sono l’enfisema bolloso severo e pregressa pneumonectomia con versamento pleurico dal lato del polmone residuo.</w:t>
      </w:r>
    </w:p>
    <w:p w:rsidR="00812E0F" w:rsidRDefault="00812E0F">
      <w:r>
        <w:t xml:space="preserve">La toracentesi dovrebbe essere evitata nei soggetti Pazienti con trombocitopenia, </w:t>
      </w:r>
      <w:proofErr w:type="spellStart"/>
      <w:r>
        <w:t>coagulopatie</w:t>
      </w:r>
      <w:proofErr w:type="spellEnd"/>
      <w:r>
        <w:t xml:space="preserve"> o in trattamento anticoagulante e con conta piastrinica &lt; 50000/</w:t>
      </w:r>
      <w:proofErr w:type="spellStart"/>
      <w:r>
        <w:t>mmc</w:t>
      </w:r>
      <w:proofErr w:type="spellEnd"/>
      <w:r>
        <w:t xml:space="preserve"> o con valori di INR &gt;1.5 </w:t>
      </w:r>
    </w:p>
    <w:p w:rsidR="00812E0F" w:rsidRDefault="00812E0F">
      <w:r>
        <w:t xml:space="preserve">sede della puntura : tra la linea ascellare posteriore e la </w:t>
      </w:r>
      <w:proofErr w:type="spellStart"/>
      <w:r>
        <w:t>medio-scapolare</w:t>
      </w:r>
      <w:proofErr w:type="spellEnd"/>
      <w:r>
        <w:t>, alcuni cm al di sotto del margine superiore del versamento, evitando di pungere al di sotto dell’ottavo spazio intercostale .</w:t>
      </w:r>
    </w:p>
    <w:p w:rsidR="00812E0F" w:rsidRDefault="00812E0F"/>
    <w:p w:rsidR="00812E0F" w:rsidRDefault="00812E0F" w:rsidP="00812E0F">
      <w:pPr>
        <w:shd w:val="clear" w:color="auto" w:fill="8DB3E2" w:themeFill="text2" w:themeFillTint="66"/>
      </w:pPr>
      <w:r>
        <w:t>PERICARDIOCENTESI</w:t>
      </w:r>
    </w:p>
    <w:p w:rsidR="00805077" w:rsidRDefault="00812E0F">
      <w:r>
        <w:t>Presenza di liquido pericardico che causa tamponamento (in questo caso è procedura salvavita con Livello di Evidenza B), se di entità &gt; 20 mm misurata in diastole o per necessità diagnostica in versamenti minori.</w:t>
      </w:r>
    </w:p>
    <w:p w:rsidR="00812E0F" w:rsidRDefault="00812E0F">
      <w:r>
        <w:t>E’ buona norma eseguire un Elettrocardiogramma 12 derivazioni prima della procedura e un monitoraggio ECG grafico durante la puntura per registrare eventuali cambiamenti macroscopici.</w:t>
      </w:r>
    </w:p>
    <w:p w:rsidR="00812E0F" w:rsidRDefault="00812E0F">
      <w:r>
        <w:t>Dopo la procedura è consigliabile rieseguire un ECG 12 derivazioni e valutarne le eventuali differenze. Nei versamenti postraumatici ed in quelli purulenti è buona norma durante la puntura posizionare un drenaggio pericardico.</w:t>
      </w:r>
    </w:p>
    <w:p w:rsidR="00812E0F" w:rsidRDefault="00255149">
      <w:r>
        <w:t>Il paziente è in posizione supina. La via sottoxifoidea è quella più utilizzata anche se è possibile utilizzare la parasternale in alcuni casi particolari che non vengono qua discussi.</w:t>
      </w:r>
    </w:p>
    <w:p w:rsidR="00255149" w:rsidRDefault="00255149">
      <w:r>
        <w:t xml:space="preserve">Secondo le vecchie indicazioni basate su </w:t>
      </w:r>
      <w:proofErr w:type="spellStart"/>
      <w:r>
        <w:t>reperi</w:t>
      </w:r>
      <w:proofErr w:type="spellEnd"/>
      <w:r>
        <w:t xml:space="preserve"> anatomici alla cieca, la direzione dell’ago </w:t>
      </w:r>
      <w:proofErr w:type="spellStart"/>
      <w:r>
        <w:t>ddovrebbe</w:t>
      </w:r>
      <w:proofErr w:type="spellEnd"/>
      <w:r>
        <w:t xml:space="preserve"> essere </w:t>
      </w:r>
      <w:proofErr w:type="spellStart"/>
      <w:r>
        <w:t>ndal</w:t>
      </w:r>
      <w:proofErr w:type="spellEnd"/>
      <w:r>
        <w:t xml:space="preserve"> processo xifoideo alla spalla </w:t>
      </w:r>
      <w:proofErr w:type="spellStart"/>
      <w:r>
        <w:t>sx</w:t>
      </w:r>
      <w:proofErr w:type="spellEnd"/>
      <w:r>
        <w:t xml:space="preserve"> con inclinazione di 30° sulla cute tenendosi rasenti allo sterno. L’utilizzo dell’ecografia modifica completamente l'approccio, per cui i parametri sono : 1) esclusione di vasi o visceri cavi (es. stomaco) sul tragitto della puntura e la ottimale visualizzazione della punta dell'ago del sacco pericardico disteso .</w:t>
      </w:r>
    </w:p>
    <w:p w:rsidR="00255149" w:rsidRDefault="00255149">
      <w:r>
        <w:t>Il drenaggio andrà eseguito in maniera intermittente ogni 4/6 ore (o meno se evidenza di tamponamento) e mantenuto in sede fino a quantità &lt; 25 ml/giorno.</w:t>
      </w:r>
    </w:p>
    <w:p w:rsidR="00255149" w:rsidRDefault="00255149">
      <w:r>
        <w:t>(massimo comunque 1.000 cc in estemporanea per evitare dilatazioni acute del Ventricolo Destro).</w:t>
      </w:r>
    </w:p>
    <w:p w:rsidR="00255149" w:rsidRDefault="00255149">
      <w:r>
        <w:lastRenderedPageBreak/>
        <w:t>Il successo della procedura è descritto in letteratura di circa 93% (per versamenti anteriori e maggiori di 10mm) e solo il 58% con versamenti piccoli, posteriori e saccati.</w:t>
      </w:r>
    </w:p>
    <w:p w:rsidR="00255149" w:rsidRDefault="00255149"/>
    <w:p w:rsidR="006E6A16" w:rsidRDefault="006E6A16" w:rsidP="00FF62A0">
      <w:pPr>
        <w:shd w:val="clear" w:color="auto" w:fill="8DB3E2" w:themeFill="text2" w:themeFillTint="66"/>
        <w:rPr>
          <w:b/>
        </w:rPr>
      </w:pPr>
      <w:r w:rsidRPr="006E6A16">
        <w:rPr>
          <w:b/>
        </w:rPr>
        <w:t>MAMMELLE</w:t>
      </w:r>
    </w:p>
    <w:p w:rsidR="006E6A16" w:rsidRPr="006E6A16" w:rsidRDefault="006E6A16">
      <w:pPr>
        <w:rPr>
          <w:b/>
        </w:rPr>
      </w:pPr>
      <w:r>
        <w:t xml:space="preserve">Lesioni classificate secondo i criteri </w:t>
      </w:r>
      <w:proofErr w:type="spellStart"/>
      <w:r>
        <w:t>Bi-Rads</w:t>
      </w:r>
      <w:proofErr w:type="spellEnd"/>
      <w:r>
        <w:t xml:space="preserve"> con necessità di conferma cito/istologica per gli U3-4; in caso di U5, oltre al tipo istologico e al </w:t>
      </w:r>
      <w:proofErr w:type="spellStart"/>
      <w:r>
        <w:t>grading</w:t>
      </w:r>
      <w:proofErr w:type="spellEnd"/>
      <w:r>
        <w:t>, si potrà eventualmente stabilire il profilo biologico per un appropriato indirizzo terapeutico.</w:t>
      </w:r>
    </w:p>
    <w:p w:rsidR="00163EC3" w:rsidRDefault="006E6A16">
      <w:r>
        <w:rPr>
          <w:noProof/>
          <w:lang w:eastAsia="it-IT"/>
        </w:rPr>
        <w:drawing>
          <wp:inline distT="0" distB="0" distL="0" distR="0">
            <wp:extent cx="6071235" cy="1573530"/>
            <wp:effectExtent l="19050" t="0" r="5715" b="0"/>
            <wp:docPr id="4" name="Immagine 4" descr="C:\Users\utente\AppData\Local\Microsoft\Windows\INetCache\Content.Word\ScreenHunter_166 Mar. 04 1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AppData\Local\Microsoft\Windows\INetCache\Content.Word\ScreenHunter_166 Mar. 04 16.28.jpg"/>
                    <pic:cNvPicPr>
                      <a:picLocks noChangeAspect="1" noChangeArrowheads="1"/>
                    </pic:cNvPicPr>
                  </pic:nvPicPr>
                  <pic:blipFill>
                    <a:blip r:embed="rId7" cstate="print"/>
                    <a:srcRect/>
                    <a:stretch>
                      <a:fillRect/>
                    </a:stretch>
                  </pic:blipFill>
                  <pic:spPr bwMode="auto">
                    <a:xfrm>
                      <a:off x="0" y="0"/>
                      <a:ext cx="6071235" cy="1573530"/>
                    </a:xfrm>
                    <a:prstGeom prst="rect">
                      <a:avLst/>
                    </a:prstGeom>
                    <a:noFill/>
                    <a:ln w="9525">
                      <a:noFill/>
                      <a:miter lim="800000"/>
                      <a:headEnd/>
                      <a:tailEnd/>
                    </a:ln>
                  </pic:spPr>
                </pic:pic>
              </a:graphicData>
            </a:graphic>
          </wp:inline>
        </w:drawing>
      </w:r>
    </w:p>
    <w:p w:rsidR="00163EC3" w:rsidRPr="00646C0F" w:rsidRDefault="00163EC3">
      <w:pPr>
        <w:rPr>
          <w:b/>
        </w:rPr>
      </w:pPr>
    </w:p>
    <w:p w:rsidR="00646C0F" w:rsidRDefault="00BB3253">
      <w:r>
        <w:t xml:space="preserve">E’ TASSATIVO verificare sempre eventuale assunzione di antiaggregante o Tao in corso e nel caso sospendere la terapia </w:t>
      </w:r>
      <w:proofErr w:type="spellStart"/>
      <w:r>
        <w:t>almento</w:t>
      </w:r>
      <w:proofErr w:type="spellEnd"/>
      <w:r>
        <w:t xml:space="preserve"> sette giorni prima.</w:t>
      </w:r>
    </w:p>
    <w:p w:rsidR="00BB3253" w:rsidRDefault="00BB3253">
      <w:r>
        <w:t xml:space="preserve">FNAC e’ di </w:t>
      </w:r>
      <w:proofErr w:type="spellStart"/>
      <w:r>
        <w:t>piu’</w:t>
      </w:r>
      <w:proofErr w:type="spellEnd"/>
      <w:r>
        <w:t xml:space="preserve"> facile esecuzione ma dipendente dalla esperienza del citopatologo e </w:t>
      </w:r>
      <w:proofErr w:type="spellStart"/>
      <w:r>
        <w:t>puo’</w:t>
      </w:r>
      <w:proofErr w:type="spellEnd"/>
      <w:r>
        <w:t xml:space="preserve"> solo orientare per </w:t>
      </w:r>
      <w:proofErr w:type="spellStart"/>
      <w:r>
        <w:t>malignita’</w:t>
      </w:r>
      <w:proofErr w:type="spellEnd"/>
      <w:r>
        <w:t xml:space="preserve"> o </w:t>
      </w:r>
      <w:proofErr w:type="spellStart"/>
      <w:r>
        <w:t>benignita’</w:t>
      </w:r>
      <w:proofErr w:type="spellEnd"/>
    </w:p>
    <w:p w:rsidR="00BB3253" w:rsidRDefault="00BB3253">
      <w:r>
        <w:t>CNB (</w:t>
      </w:r>
      <w:proofErr w:type="spellStart"/>
      <w:r>
        <w:t>Core</w:t>
      </w:r>
      <w:proofErr w:type="spellEnd"/>
      <w:r>
        <w:t xml:space="preserve"> </w:t>
      </w:r>
      <w:proofErr w:type="spellStart"/>
      <w:r>
        <w:t>Needle</w:t>
      </w:r>
      <w:proofErr w:type="spellEnd"/>
      <w:r>
        <w:t xml:space="preserve"> </w:t>
      </w:r>
      <w:proofErr w:type="spellStart"/>
      <w:r>
        <w:t>Biopsy</w:t>
      </w:r>
      <w:proofErr w:type="spellEnd"/>
      <w:r>
        <w:t xml:space="preserve">) e’ scelta ormai prevalente,rimanendo indicato il </w:t>
      </w:r>
      <w:proofErr w:type="spellStart"/>
      <w:r>
        <w:t>citoaspirato</w:t>
      </w:r>
      <w:proofErr w:type="spellEnd"/>
      <w:r>
        <w:t xml:space="preserve"> nelle lesioni cistiche o nei rari casi di </w:t>
      </w:r>
      <w:proofErr w:type="spellStart"/>
      <w:r>
        <w:t>impossibilita’</w:t>
      </w:r>
      <w:proofErr w:type="spellEnd"/>
      <w:r>
        <w:t xml:space="preserve"> tecnica alla </w:t>
      </w:r>
      <w:proofErr w:type="spellStart"/>
      <w:r>
        <w:t>microbiopsia</w:t>
      </w:r>
      <w:proofErr w:type="spellEnd"/>
      <w:r>
        <w:t>.</w:t>
      </w:r>
    </w:p>
    <w:p w:rsidR="00BB3253" w:rsidRDefault="00BB3253">
      <w:r>
        <w:t xml:space="preserve">Nei noduli </w:t>
      </w:r>
      <w:proofErr w:type="spellStart"/>
      <w:r>
        <w:t>Us-sospetti</w:t>
      </w:r>
      <w:proofErr w:type="spellEnd"/>
      <w:r>
        <w:t xml:space="preserve">,anche in caso di reperto bioptico benigno, e’ consigliabile la verifica chirurgica o in alternativa una re-biopsia (eventualmente anche </w:t>
      </w:r>
      <w:proofErr w:type="spellStart"/>
      <w:r>
        <w:t>Vacuum-assisted</w:t>
      </w:r>
      <w:proofErr w:type="spellEnd"/>
      <w:r>
        <w:t xml:space="preserve">): sempre comunque un </w:t>
      </w:r>
      <w:proofErr w:type="spellStart"/>
      <w:r>
        <w:t>follow</w:t>
      </w:r>
      <w:proofErr w:type="spellEnd"/>
      <w:r>
        <w:t xml:space="preserve"> up ecografico stretto, almeno semestrale</w:t>
      </w:r>
    </w:p>
    <w:p w:rsidR="00BB3253" w:rsidRDefault="00BB3253">
      <w:r>
        <w:t>nei casi di stadio locale avanzato o di malattia sistemica, la CNB permette anche uno studio dei marcatori biologici, necessario per la terapia neoadiuvante.</w:t>
      </w:r>
    </w:p>
    <w:sectPr w:rsidR="00BB3253" w:rsidSect="00A74D63">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320BA"/>
    <w:multiLevelType w:val="hybridMultilevel"/>
    <w:tmpl w:val="CDDCF488"/>
    <w:lvl w:ilvl="0" w:tplc="9EAE01D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086C66"/>
    <w:multiLevelType w:val="hybridMultilevel"/>
    <w:tmpl w:val="3678E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hyphenationZone w:val="283"/>
  <w:characterSpacingControl w:val="doNotCompress"/>
  <w:compat/>
  <w:rsids>
    <w:rsidRoot w:val="00A74D63"/>
    <w:rsid w:val="00015716"/>
    <w:rsid w:val="0016296A"/>
    <w:rsid w:val="00163EC3"/>
    <w:rsid w:val="00255149"/>
    <w:rsid w:val="002A09EA"/>
    <w:rsid w:val="00323E72"/>
    <w:rsid w:val="00646C0F"/>
    <w:rsid w:val="006E6A16"/>
    <w:rsid w:val="007606BC"/>
    <w:rsid w:val="00805077"/>
    <w:rsid w:val="00812E0F"/>
    <w:rsid w:val="00A74D63"/>
    <w:rsid w:val="00AA443F"/>
    <w:rsid w:val="00B31980"/>
    <w:rsid w:val="00BB3253"/>
    <w:rsid w:val="00FF62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06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3EC3"/>
    <w:pPr>
      <w:ind w:left="720"/>
      <w:contextualSpacing/>
    </w:pPr>
  </w:style>
  <w:style w:type="paragraph" w:styleId="Testofumetto">
    <w:name w:val="Balloon Text"/>
    <w:basedOn w:val="Normale"/>
    <w:link w:val="TestofumettoCarattere"/>
    <w:uiPriority w:val="99"/>
    <w:semiHidden/>
    <w:unhideWhenUsed/>
    <w:rsid w:val="006E6A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6A16"/>
    <w:rPr>
      <w:rFonts w:ascii="Tahoma" w:hAnsi="Tahoma" w:cs="Tahoma"/>
      <w:sz w:val="16"/>
      <w:szCs w:val="16"/>
    </w:rPr>
  </w:style>
  <w:style w:type="paragraph" w:styleId="Nessunaspaziatura">
    <w:name w:val="No Spacing"/>
    <w:link w:val="NessunaspaziaturaCarattere"/>
    <w:uiPriority w:val="1"/>
    <w:qFormat/>
    <w:rsid w:val="00FF62A0"/>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FF62A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1016</Words>
  <Characters>5794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dcterms:created xsi:type="dcterms:W3CDTF">2018-03-04T14:58:00Z</dcterms:created>
  <dcterms:modified xsi:type="dcterms:W3CDTF">2018-03-04T16:40:00Z</dcterms:modified>
</cp:coreProperties>
</file>